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06244" w14:textId="77777777" w:rsidR="00636179" w:rsidRDefault="00000000">
      <w:pPr>
        <w:rPr>
          <w:rFonts w:ascii="Times New Roman" w:hAnsi="Times New Roman" w:cs="Times New Roman"/>
          <w:b/>
          <w:bCs/>
        </w:rPr>
      </w:pPr>
      <w:r>
        <w:rPr>
          <w:rFonts w:ascii="Times New Roman" w:hAnsi="Times New Roman" w:cs="Times New Roman"/>
          <w:b/>
          <w:bCs/>
        </w:rPr>
        <w:t>Město Tachov</w:t>
      </w:r>
    </w:p>
    <w:p w14:paraId="0DE6B8ED" w14:textId="77777777" w:rsidR="00636179" w:rsidRDefault="00000000">
      <w:pPr>
        <w:rPr>
          <w:rFonts w:ascii="Times New Roman" w:hAnsi="Times New Roman" w:cs="Times New Roman"/>
        </w:rPr>
      </w:pPr>
      <w:r>
        <w:rPr>
          <w:rFonts w:ascii="Times New Roman" w:hAnsi="Times New Roman" w:cs="Times New Roman"/>
        </w:rPr>
        <w:t>se sídlem: Hornická 1695, Tachov, PSČ: 347 01</w:t>
      </w:r>
    </w:p>
    <w:p w14:paraId="67511710" w14:textId="77777777" w:rsidR="00636179" w:rsidRDefault="00000000">
      <w:pPr>
        <w:rPr>
          <w:rFonts w:ascii="Times New Roman" w:hAnsi="Times New Roman" w:cs="Times New Roman"/>
        </w:rPr>
      </w:pPr>
      <w:r>
        <w:rPr>
          <w:rFonts w:ascii="Times New Roman" w:hAnsi="Times New Roman" w:cs="Times New Roman"/>
        </w:rPr>
        <w:t>IČ: 00260231</w:t>
      </w:r>
    </w:p>
    <w:p w14:paraId="2CEEBF25" w14:textId="77777777" w:rsidR="00636179" w:rsidRDefault="00000000">
      <w:pPr>
        <w:rPr>
          <w:rFonts w:ascii="Times New Roman" w:hAnsi="Times New Roman" w:cs="Times New Roman"/>
        </w:rPr>
      </w:pPr>
      <w:r>
        <w:rPr>
          <w:rFonts w:ascii="Times New Roman" w:hAnsi="Times New Roman" w:cs="Times New Roman"/>
        </w:rPr>
        <w:t>DIČ: CZ00260231</w:t>
      </w:r>
    </w:p>
    <w:p w14:paraId="5E27AB5B" w14:textId="77777777" w:rsidR="00636179" w:rsidRDefault="00000000">
      <w:pPr>
        <w:rPr>
          <w:rFonts w:ascii="Times New Roman" w:hAnsi="Times New Roman" w:cs="Times New Roman"/>
        </w:rPr>
      </w:pPr>
      <w:r>
        <w:rPr>
          <w:rFonts w:ascii="Times New Roman" w:hAnsi="Times New Roman" w:cs="Times New Roman"/>
        </w:rPr>
        <w:t>zastoupené: Mgr. Petrem Vránou, starostou města</w:t>
      </w:r>
    </w:p>
    <w:p w14:paraId="32E5B5C0" w14:textId="77777777" w:rsidR="00636179" w:rsidRDefault="00000000">
      <w:pPr>
        <w:rPr>
          <w:rFonts w:ascii="Times New Roman" w:hAnsi="Times New Roman" w:cs="Times New Roman"/>
        </w:rPr>
      </w:pPr>
      <w:r>
        <w:rPr>
          <w:rFonts w:ascii="Times New Roman" w:hAnsi="Times New Roman" w:cs="Times New Roman"/>
        </w:rPr>
        <w:t>bankovní spojení: Komerční banka, a.s., č. účtu 2688970257/0100</w:t>
      </w:r>
    </w:p>
    <w:p w14:paraId="317A4B9C" w14:textId="77777777" w:rsidR="00636179" w:rsidRDefault="00000000">
      <w:pPr>
        <w:rPr>
          <w:rFonts w:ascii="Times New Roman" w:hAnsi="Times New Roman" w:cs="Times New Roman"/>
        </w:rPr>
      </w:pPr>
      <w:r>
        <w:rPr>
          <w:rFonts w:ascii="Times New Roman" w:hAnsi="Times New Roman" w:cs="Times New Roman"/>
        </w:rPr>
        <w:t>na straně jedné (dále jen „Poskytovatel“)</w:t>
      </w:r>
    </w:p>
    <w:p w14:paraId="3BB376BD" w14:textId="77777777" w:rsidR="00636179" w:rsidRDefault="00636179">
      <w:pPr>
        <w:rPr>
          <w:rFonts w:ascii="Times New Roman" w:hAnsi="Times New Roman" w:cs="Times New Roman"/>
          <w:sz w:val="16"/>
          <w:szCs w:val="16"/>
        </w:rPr>
      </w:pPr>
    </w:p>
    <w:p w14:paraId="6EDF0D0B" w14:textId="77777777" w:rsidR="00636179" w:rsidRDefault="00000000">
      <w:pPr>
        <w:rPr>
          <w:rFonts w:ascii="Times New Roman" w:hAnsi="Times New Roman" w:cs="Times New Roman"/>
        </w:rPr>
      </w:pPr>
      <w:r>
        <w:rPr>
          <w:rFonts w:ascii="Times New Roman" w:hAnsi="Times New Roman" w:cs="Times New Roman"/>
        </w:rPr>
        <w:t>a</w:t>
      </w:r>
    </w:p>
    <w:p w14:paraId="7E045DC5" w14:textId="77777777" w:rsidR="00636179" w:rsidRDefault="00636179">
      <w:pPr>
        <w:rPr>
          <w:rFonts w:ascii="Times New Roman" w:hAnsi="Times New Roman" w:cs="Times New Roman"/>
          <w:sz w:val="16"/>
          <w:szCs w:val="16"/>
        </w:rPr>
      </w:pPr>
    </w:p>
    <w:p w14:paraId="02865B9A" w14:textId="355FC9DE" w:rsidR="00814D4D" w:rsidRPr="00814D4D" w:rsidRDefault="002149BB">
      <w:pPr>
        <w:rPr>
          <w:rFonts w:ascii="Times New Roman" w:hAnsi="Times New Roman" w:cs="Times New Roman"/>
          <w:b/>
          <w:bCs/>
        </w:rPr>
      </w:pPr>
      <w:r>
        <w:rPr>
          <w:rFonts w:ascii="Times New Roman" w:hAnsi="Times New Roman" w:cs="Times New Roman"/>
          <w:b/>
          <w:bCs/>
        </w:rPr>
        <w:t xml:space="preserve">Sjednocená organizace nevidomých a slabozrakých České republiky, </w:t>
      </w:r>
      <w:proofErr w:type="spellStart"/>
      <w:r w:rsidRPr="002149BB">
        <w:rPr>
          <w:rFonts w:ascii="Times New Roman" w:hAnsi="Times New Roman" w:cs="Times New Roman"/>
          <w:b/>
          <w:bCs/>
        </w:rPr>
        <w:t>z.s</w:t>
      </w:r>
      <w:proofErr w:type="spellEnd"/>
      <w:r w:rsidRPr="002149BB">
        <w:rPr>
          <w:rFonts w:ascii="Times New Roman" w:hAnsi="Times New Roman" w:cs="Times New Roman"/>
          <w:b/>
          <w:bCs/>
        </w:rPr>
        <w:t>.</w:t>
      </w:r>
    </w:p>
    <w:p w14:paraId="585F1711" w14:textId="0E04F543" w:rsidR="00636179" w:rsidRDefault="00000000">
      <w:pPr>
        <w:rPr>
          <w:rFonts w:ascii="Times New Roman" w:hAnsi="Times New Roman" w:cs="Times New Roman"/>
        </w:rPr>
      </w:pPr>
      <w:r>
        <w:rPr>
          <w:rFonts w:ascii="Times New Roman" w:hAnsi="Times New Roman" w:cs="Times New Roman"/>
        </w:rPr>
        <w:t xml:space="preserve">se sídlem: </w:t>
      </w:r>
      <w:r w:rsidR="002149BB">
        <w:rPr>
          <w:rFonts w:ascii="Times New Roman" w:hAnsi="Times New Roman" w:cs="Times New Roman"/>
        </w:rPr>
        <w:t xml:space="preserve">Krakovská 1695/21, </w:t>
      </w:r>
      <w:r w:rsidR="00A53FF8">
        <w:rPr>
          <w:rFonts w:ascii="Times New Roman" w:hAnsi="Times New Roman" w:cs="Times New Roman"/>
        </w:rPr>
        <w:t>Praha 1 – Nové Město, PSČ: 110 00</w:t>
      </w:r>
    </w:p>
    <w:p w14:paraId="485F230F" w14:textId="600620FF" w:rsidR="00A53FF8" w:rsidRDefault="00A53FF8">
      <w:pPr>
        <w:rPr>
          <w:rFonts w:ascii="Times New Roman" w:hAnsi="Times New Roman" w:cs="Times New Roman"/>
        </w:rPr>
      </w:pPr>
      <w:r>
        <w:rPr>
          <w:rFonts w:ascii="Times New Roman" w:hAnsi="Times New Roman" w:cs="Times New Roman"/>
        </w:rPr>
        <w:t xml:space="preserve">oblastní odbočka: </w:t>
      </w:r>
      <w:proofErr w:type="spellStart"/>
      <w:r>
        <w:rPr>
          <w:rFonts w:ascii="Times New Roman" w:hAnsi="Times New Roman" w:cs="Times New Roman"/>
        </w:rPr>
        <w:t>Stadtrodská</w:t>
      </w:r>
      <w:proofErr w:type="spellEnd"/>
      <w:r>
        <w:rPr>
          <w:rFonts w:ascii="Times New Roman" w:hAnsi="Times New Roman" w:cs="Times New Roman"/>
        </w:rPr>
        <w:t xml:space="preserve"> 1516, Tachov, PSČ: 347 01</w:t>
      </w:r>
    </w:p>
    <w:p w14:paraId="5304DB9D" w14:textId="63BD2C2E" w:rsidR="00636179" w:rsidRDefault="00000000">
      <w:pPr>
        <w:rPr>
          <w:rFonts w:ascii="Times New Roman" w:hAnsi="Times New Roman" w:cs="Times New Roman"/>
        </w:rPr>
      </w:pPr>
      <w:r>
        <w:rPr>
          <w:rFonts w:ascii="Times New Roman" w:hAnsi="Times New Roman" w:cs="Times New Roman"/>
        </w:rPr>
        <w:t xml:space="preserve">IČ: </w:t>
      </w:r>
      <w:r w:rsidR="00A53FF8">
        <w:rPr>
          <w:rFonts w:ascii="Times New Roman" w:hAnsi="Times New Roman" w:cs="Times New Roman"/>
        </w:rPr>
        <w:t>65399447</w:t>
      </w:r>
    </w:p>
    <w:p w14:paraId="2F00C851" w14:textId="2537BD18" w:rsidR="00A53FF8" w:rsidRDefault="00A53FF8">
      <w:pPr>
        <w:rPr>
          <w:rFonts w:ascii="Times New Roman" w:hAnsi="Times New Roman" w:cs="Times New Roman"/>
        </w:rPr>
      </w:pPr>
      <w:r>
        <w:rPr>
          <w:rFonts w:ascii="Times New Roman" w:hAnsi="Times New Roman" w:cs="Times New Roman"/>
        </w:rPr>
        <w:t>DIČ: CZ65399447</w:t>
      </w:r>
    </w:p>
    <w:p w14:paraId="7C69FA36" w14:textId="21A209DA" w:rsidR="00636179" w:rsidRDefault="00C01789">
      <w:pPr>
        <w:rPr>
          <w:rFonts w:ascii="Times New Roman" w:hAnsi="Times New Roman" w:cs="Times New Roman"/>
        </w:rPr>
      </w:pPr>
      <w:r>
        <w:rPr>
          <w:rFonts w:ascii="Times New Roman" w:hAnsi="Times New Roman" w:cs="Times New Roman"/>
        </w:rPr>
        <w:t>zapsán ve</w:t>
      </w:r>
      <w:r w:rsidR="00CE5C8E">
        <w:rPr>
          <w:rFonts w:ascii="Times New Roman" w:hAnsi="Times New Roman" w:cs="Times New Roman"/>
        </w:rPr>
        <w:t xml:space="preserve"> spolkovém</w:t>
      </w:r>
      <w:r>
        <w:rPr>
          <w:rFonts w:ascii="Times New Roman" w:hAnsi="Times New Roman" w:cs="Times New Roman"/>
        </w:rPr>
        <w:t xml:space="preserve"> rejstříku vedeném </w:t>
      </w:r>
      <w:r w:rsidR="00A53FF8">
        <w:rPr>
          <w:rFonts w:ascii="Times New Roman" w:hAnsi="Times New Roman" w:cs="Times New Roman"/>
        </w:rPr>
        <w:t>Městským soudem</w:t>
      </w:r>
      <w:r>
        <w:rPr>
          <w:rFonts w:ascii="Times New Roman" w:hAnsi="Times New Roman" w:cs="Times New Roman"/>
        </w:rPr>
        <w:t xml:space="preserve"> v </w:t>
      </w:r>
      <w:r w:rsidR="00CE5C8E">
        <w:rPr>
          <w:rFonts w:ascii="Times New Roman" w:hAnsi="Times New Roman" w:cs="Times New Roman"/>
        </w:rPr>
        <w:t>P</w:t>
      </w:r>
      <w:r w:rsidR="00A53FF8">
        <w:rPr>
          <w:rFonts w:ascii="Times New Roman" w:hAnsi="Times New Roman" w:cs="Times New Roman"/>
        </w:rPr>
        <w:t>raze</w:t>
      </w:r>
      <w:r>
        <w:rPr>
          <w:rFonts w:ascii="Times New Roman" w:hAnsi="Times New Roman" w:cs="Times New Roman"/>
        </w:rPr>
        <w:t xml:space="preserve">, oddíl </w:t>
      </w:r>
      <w:r w:rsidR="00CE5C8E">
        <w:rPr>
          <w:rFonts w:ascii="Times New Roman" w:hAnsi="Times New Roman" w:cs="Times New Roman"/>
        </w:rPr>
        <w:t>L</w:t>
      </w:r>
      <w:r>
        <w:rPr>
          <w:rFonts w:ascii="Times New Roman" w:hAnsi="Times New Roman" w:cs="Times New Roman"/>
        </w:rPr>
        <w:t>, vložka</w:t>
      </w:r>
      <w:r w:rsidR="00A53FF8">
        <w:rPr>
          <w:rFonts w:ascii="Times New Roman" w:hAnsi="Times New Roman" w:cs="Times New Roman"/>
        </w:rPr>
        <w:t xml:space="preserve"> 7606</w:t>
      </w:r>
    </w:p>
    <w:p w14:paraId="08B0E434" w14:textId="07FFEB30" w:rsidR="00636179" w:rsidRDefault="00000000">
      <w:pPr>
        <w:rPr>
          <w:rFonts w:ascii="Times New Roman" w:hAnsi="Times New Roman" w:cs="Times New Roman"/>
        </w:rPr>
      </w:pPr>
      <w:r>
        <w:rPr>
          <w:rFonts w:ascii="Times New Roman" w:hAnsi="Times New Roman" w:cs="Times New Roman"/>
        </w:rPr>
        <w:t xml:space="preserve">zastoupený: </w:t>
      </w:r>
      <w:r w:rsidR="00A53FF8">
        <w:rPr>
          <w:rFonts w:ascii="Times New Roman" w:hAnsi="Times New Roman" w:cs="Times New Roman"/>
        </w:rPr>
        <w:t>na základě pověření Adrianou Vrbatovou, předsedkyní oblastní odbočky</w:t>
      </w:r>
    </w:p>
    <w:p w14:paraId="052F58AA" w14:textId="0977C911" w:rsidR="00636179" w:rsidRDefault="00000000">
      <w:pPr>
        <w:rPr>
          <w:rFonts w:ascii="Times New Roman" w:hAnsi="Times New Roman" w:cs="Times New Roman"/>
        </w:rPr>
      </w:pPr>
      <w:r>
        <w:rPr>
          <w:rFonts w:ascii="Times New Roman" w:hAnsi="Times New Roman" w:cs="Times New Roman"/>
        </w:rPr>
        <w:t xml:space="preserve">bankovní spojení: </w:t>
      </w:r>
      <w:r w:rsidR="00A53FF8" w:rsidRPr="00A53FF8">
        <w:rPr>
          <w:rFonts w:ascii="Times New Roman" w:hAnsi="Times New Roman" w:cs="Times New Roman"/>
        </w:rPr>
        <w:t>Československá obchodní banka</w:t>
      </w:r>
      <w:r w:rsidR="00A53FF8">
        <w:rPr>
          <w:rFonts w:ascii="Times New Roman" w:hAnsi="Times New Roman" w:cs="Times New Roman"/>
        </w:rPr>
        <w:t xml:space="preserve">, </w:t>
      </w:r>
      <w:r w:rsidR="00A53FF8" w:rsidRPr="00A53FF8">
        <w:rPr>
          <w:rFonts w:ascii="Times New Roman" w:hAnsi="Times New Roman" w:cs="Times New Roman"/>
        </w:rPr>
        <w:t>a.s., č. účtu 294355949/0300</w:t>
      </w:r>
    </w:p>
    <w:p w14:paraId="046926F6" w14:textId="77777777" w:rsidR="00636179" w:rsidRDefault="00000000">
      <w:pPr>
        <w:rPr>
          <w:rFonts w:ascii="Times New Roman" w:hAnsi="Times New Roman" w:cs="Times New Roman"/>
        </w:rPr>
      </w:pPr>
      <w:r>
        <w:rPr>
          <w:rFonts w:ascii="Times New Roman" w:hAnsi="Times New Roman" w:cs="Times New Roman"/>
        </w:rPr>
        <w:t>na straně druhé (dále jen „Příjemce“)</w:t>
      </w:r>
    </w:p>
    <w:p w14:paraId="51085D7E" w14:textId="77777777" w:rsidR="00636179" w:rsidRDefault="00636179">
      <w:pPr>
        <w:rPr>
          <w:rFonts w:ascii="Times New Roman" w:hAnsi="Times New Roman" w:cs="Times New Roman"/>
        </w:rPr>
      </w:pPr>
    </w:p>
    <w:p w14:paraId="48F79878" w14:textId="77777777" w:rsidR="00636179" w:rsidRDefault="00636179">
      <w:pPr>
        <w:rPr>
          <w:rFonts w:ascii="Times New Roman" w:hAnsi="Times New Roman" w:cs="Times New Roman"/>
          <w:sz w:val="12"/>
          <w:szCs w:val="12"/>
        </w:rPr>
      </w:pPr>
    </w:p>
    <w:p w14:paraId="5DA10A6F" w14:textId="77777777" w:rsidR="00636179" w:rsidRDefault="00000000">
      <w:pPr>
        <w:rPr>
          <w:rFonts w:ascii="Times New Roman" w:hAnsi="Times New Roman" w:cs="Times New Roman"/>
        </w:rPr>
      </w:pPr>
      <w:r>
        <w:rPr>
          <w:rFonts w:ascii="Times New Roman" w:hAnsi="Times New Roman" w:cs="Times New Roman"/>
        </w:rPr>
        <w:t>uzavírají mezi sebou</w:t>
      </w:r>
    </w:p>
    <w:p w14:paraId="061A322C" w14:textId="77777777" w:rsidR="00636179" w:rsidRDefault="00636179">
      <w:pPr>
        <w:rPr>
          <w:rFonts w:ascii="Times New Roman" w:hAnsi="Times New Roman" w:cs="Times New Roman"/>
        </w:rPr>
      </w:pPr>
    </w:p>
    <w:p w14:paraId="36038067" w14:textId="364F5BEB" w:rsidR="00636179" w:rsidRDefault="00000000">
      <w:pPr>
        <w:jc w:val="center"/>
        <w:rPr>
          <w:rFonts w:ascii="Times New Roman" w:hAnsi="Times New Roman" w:cs="Times New Roman"/>
          <w:b/>
          <w:bCs/>
        </w:rPr>
      </w:pPr>
      <w:r>
        <w:rPr>
          <w:rFonts w:ascii="Times New Roman" w:hAnsi="Times New Roman" w:cs="Times New Roman"/>
          <w:b/>
          <w:bCs/>
        </w:rPr>
        <w:t>SMLOUVU O POSKYTNUTÍ DOTACE Z ROZPOČTU MĚSTA TACHOVA V ROCE 202</w:t>
      </w:r>
      <w:r w:rsidR="007B6ADD">
        <w:rPr>
          <w:rFonts w:ascii="Times New Roman" w:hAnsi="Times New Roman" w:cs="Times New Roman"/>
          <w:b/>
          <w:bCs/>
        </w:rPr>
        <w:t>4</w:t>
      </w:r>
    </w:p>
    <w:p w14:paraId="3F61AEA8" w14:textId="77777777" w:rsidR="00636179" w:rsidRDefault="00636179">
      <w:pPr>
        <w:jc w:val="center"/>
        <w:rPr>
          <w:rFonts w:ascii="Times New Roman" w:hAnsi="Times New Roman" w:cs="Times New Roman"/>
          <w:b/>
          <w:bCs/>
          <w:sz w:val="16"/>
          <w:szCs w:val="16"/>
        </w:rPr>
      </w:pPr>
    </w:p>
    <w:p w14:paraId="19023887" w14:textId="77777777" w:rsidR="00A42EFE" w:rsidRDefault="00000000">
      <w:pPr>
        <w:jc w:val="center"/>
        <w:rPr>
          <w:rFonts w:ascii="Times New Roman" w:hAnsi="Times New Roman" w:cs="Times New Roman"/>
          <w:b/>
          <w:bCs/>
        </w:rPr>
      </w:pPr>
      <w:r>
        <w:rPr>
          <w:rFonts w:ascii="Times New Roman" w:hAnsi="Times New Roman" w:cs="Times New Roman"/>
          <w:b/>
          <w:bCs/>
        </w:rPr>
        <w:t>podle § 10a zákona č. 250/2000 Sb., o rozpočtových pravidlech územních rozpočtů,</w:t>
      </w:r>
    </w:p>
    <w:p w14:paraId="21764890" w14:textId="548BF9FD" w:rsidR="00636179" w:rsidRDefault="00000000">
      <w:pPr>
        <w:jc w:val="center"/>
        <w:rPr>
          <w:rFonts w:ascii="Times New Roman" w:hAnsi="Times New Roman" w:cs="Times New Roman"/>
          <w:b/>
          <w:bCs/>
        </w:rPr>
      </w:pPr>
      <w:r>
        <w:rPr>
          <w:rFonts w:ascii="Times New Roman" w:hAnsi="Times New Roman" w:cs="Times New Roman"/>
          <w:b/>
          <w:bCs/>
        </w:rPr>
        <w:t>ve znění pozdějších předpisů</w:t>
      </w:r>
    </w:p>
    <w:p w14:paraId="51CA7482" w14:textId="77777777" w:rsidR="00636179" w:rsidRDefault="00636179">
      <w:pPr>
        <w:jc w:val="center"/>
        <w:rPr>
          <w:rFonts w:ascii="Times New Roman" w:hAnsi="Times New Roman" w:cs="Times New Roman"/>
          <w:b/>
          <w:bCs/>
          <w:sz w:val="16"/>
          <w:szCs w:val="16"/>
        </w:rPr>
      </w:pPr>
    </w:p>
    <w:p w14:paraId="5EE481E8" w14:textId="77777777" w:rsidR="00636179" w:rsidRDefault="00000000">
      <w:pPr>
        <w:jc w:val="center"/>
        <w:rPr>
          <w:rFonts w:ascii="Times New Roman" w:hAnsi="Times New Roman" w:cs="Times New Roman"/>
          <w:b/>
          <w:bCs/>
        </w:rPr>
      </w:pPr>
      <w:r>
        <w:rPr>
          <w:rFonts w:ascii="Times New Roman" w:hAnsi="Times New Roman" w:cs="Times New Roman"/>
          <w:b/>
          <w:bCs/>
        </w:rPr>
        <w:t>(dále jen „Smlouva“)</w:t>
      </w:r>
    </w:p>
    <w:p w14:paraId="7F588395" w14:textId="77777777" w:rsidR="00636179" w:rsidRDefault="00636179">
      <w:pPr>
        <w:jc w:val="center"/>
        <w:rPr>
          <w:rFonts w:ascii="Times New Roman" w:hAnsi="Times New Roman" w:cs="Times New Roman"/>
          <w:b/>
          <w:bCs/>
        </w:rPr>
      </w:pPr>
    </w:p>
    <w:p w14:paraId="01BCF753" w14:textId="77777777" w:rsidR="00636179" w:rsidRDefault="00000000">
      <w:pPr>
        <w:jc w:val="center"/>
        <w:rPr>
          <w:rFonts w:ascii="Times New Roman" w:hAnsi="Times New Roman" w:cs="Times New Roman"/>
          <w:b/>
          <w:bCs/>
        </w:rPr>
      </w:pPr>
      <w:r>
        <w:rPr>
          <w:rFonts w:ascii="Times New Roman" w:hAnsi="Times New Roman" w:cs="Times New Roman"/>
          <w:b/>
          <w:bCs/>
        </w:rPr>
        <w:t>Článek I.</w:t>
      </w:r>
    </w:p>
    <w:p w14:paraId="4968D8EF" w14:textId="77777777" w:rsidR="00636179" w:rsidRDefault="00636179">
      <w:pPr>
        <w:jc w:val="center"/>
        <w:rPr>
          <w:rFonts w:ascii="Times New Roman" w:hAnsi="Times New Roman" w:cs="Times New Roman"/>
          <w:b/>
          <w:bCs/>
        </w:rPr>
      </w:pPr>
    </w:p>
    <w:p w14:paraId="565721FD" w14:textId="7826EF1C" w:rsidR="00636179" w:rsidRDefault="00000000">
      <w:pPr>
        <w:pStyle w:val="Odstavecseseznamem"/>
        <w:numPr>
          <w:ilvl w:val="0"/>
          <w:numId w:val="1"/>
        </w:numPr>
        <w:spacing w:after="0"/>
        <w:ind w:left="426" w:hanging="426"/>
        <w:jc w:val="both"/>
        <w:rPr>
          <w:rFonts w:ascii="Times New Roman" w:hAnsi="Times New Roman" w:cs="Times New Roman"/>
        </w:rPr>
      </w:pPr>
      <w:r>
        <w:rPr>
          <w:rFonts w:ascii="Times New Roman" w:hAnsi="Times New Roman" w:cs="Times New Roman"/>
        </w:rPr>
        <w:t xml:space="preserve">Předmětem </w:t>
      </w:r>
      <w:r w:rsidR="00776D27">
        <w:rPr>
          <w:rFonts w:ascii="Times New Roman" w:hAnsi="Times New Roman" w:cs="Times New Roman"/>
        </w:rPr>
        <w:t>S</w:t>
      </w:r>
      <w:r>
        <w:rPr>
          <w:rFonts w:ascii="Times New Roman" w:hAnsi="Times New Roman" w:cs="Times New Roman"/>
        </w:rPr>
        <w:t xml:space="preserve">mlouvy je poskytnutí účelové finanční dotace (dále </w:t>
      </w:r>
      <w:r w:rsidR="003B4A80">
        <w:rPr>
          <w:rFonts w:ascii="Times New Roman" w:hAnsi="Times New Roman" w:cs="Times New Roman"/>
        </w:rPr>
        <w:t>jen</w:t>
      </w:r>
      <w:r>
        <w:rPr>
          <w:rFonts w:ascii="Times New Roman" w:hAnsi="Times New Roman" w:cs="Times New Roman"/>
        </w:rPr>
        <w:t xml:space="preserve"> „dotace“) určené na projekt </w:t>
      </w:r>
      <w:r w:rsidR="00085FC0">
        <w:rPr>
          <w:rFonts w:ascii="Times New Roman" w:hAnsi="Times New Roman" w:cs="Times New Roman"/>
        </w:rPr>
        <w:t>–</w:t>
      </w:r>
      <w:r>
        <w:rPr>
          <w:rFonts w:ascii="Times New Roman" w:hAnsi="Times New Roman" w:cs="Times New Roman"/>
        </w:rPr>
        <w:t xml:space="preserve"> </w:t>
      </w:r>
      <w:r w:rsidR="002C2F5D">
        <w:rPr>
          <w:rFonts w:ascii="Times New Roman" w:hAnsi="Times New Roman" w:cs="Times New Roman"/>
        </w:rPr>
        <w:t>částečná úhrada provozních nákladů, kancelářských potřeb, dále na úhradu autobusové dopravy na pobyt a na účetní služby</w:t>
      </w:r>
      <w:r>
        <w:rPr>
          <w:rFonts w:ascii="Times New Roman" w:hAnsi="Times New Roman" w:cs="Times New Roman"/>
        </w:rPr>
        <w:t xml:space="preserve"> v r. 20</w:t>
      </w:r>
      <w:r w:rsidR="00085FC0">
        <w:rPr>
          <w:rFonts w:ascii="Times New Roman" w:hAnsi="Times New Roman" w:cs="Times New Roman"/>
        </w:rPr>
        <w:t>24</w:t>
      </w:r>
      <w:r>
        <w:rPr>
          <w:rFonts w:ascii="Times New Roman" w:hAnsi="Times New Roman" w:cs="Times New Roman"/>
        </w:rPr>
        <w:t xml:space="preserve"> (dále </w:t>
      </w:r>
      <w:r w:rsidR="003B4A80">
        <w:rPr>
          <w:rFonts w:ascii="Times New Roman" w:hAnsi="Times New Roman" w:cs="Times New Roman"/>
        </w:rPr>
        <w:t>jen</w:t>
      </w:r>
      <w:r>
        <w:rPr>
          <w:rFonts w:ascii="Times New Roman" w:hAnsi="Times New Roman" w:cs="Times New Roman"/>
        </w:rPr>
        <w:t xml:space="preserve"> „Projekt“). </w:t>
      </w:r>
      <w:r w:rsidR="00A42EFE" w:rsidRPr="00A42EFE">
        <w:rPr>
          <w:rFonts w:ascii="Times New Roman" w:hAnsi="Times New Roman" w:cs="Times New Roman"/>
        </w:rPr>
        <w:t xml:space="preserve">Projekt bude realizován </w:t>
      </w:r>
      <w:r w:rsidR="00A42EFE" w:rsidRPr="00A42EFE">
        <w:rPr>
          <w:rFonts w:ascii="Times New Roman" w:hAnsi="Times New Roman" w:cs="Times New Roman"/>
          <w:i/>
          <w:iCs/>
        </w:rPr>
        <w:t>v souladu s podanou žádostí Příjemce.</w:t>
      </w:r>
      <w:r w:rsidR="00A42EFE" w:rsidRPr="00A42EFE">
        <w:rPr>
          <w:rFonts w:ascii="Times New Roman" w:hAnsi="Times New Roman" w:cs="Times New Roman"/>
        </w:rPr>
        <w:t xml:space="preserve"> </w:t>
      </w:r>
      <w:r w:rsidRPr="00A42EFE">
        <w:rPr>
          <w:rFonts w:ascii="Times New Roman" w:hAnsi="Times New Roman" w:cs="Times New Roman"/>
        </w:rPr>
        <w:t>Podkladem</w:t>
      </w:r>
      <w:r>
        <w:rPr>
          <w:rFonts w:ascii="Times New Roman" w:hAnsi="Times New Roman" w:cs="Times New Roman"/>
        </w:rPr>
        <w:t xml:space="preserve"> pro poskytnutí účelové finanční dotace je písemná žádost Příjemce o poskytnutí dotace (číslo jednací žádosti</w:t>
      </w:r>
      <w:r w:rsidR="002C2F5D">
        <w:rPr>
          <w:rFonts w:ascii="Times New Roman" w:hAnsi="Times New Roman" w:cs="Times New Roman"/>
        </w:rPr>
        <w:t xml:space="preserve"> 2121</w:t>
      </w:r>
      <w:r w:rsidR="00085FC0">
        <w:rPr>
          <w:rFonts w:ascii="Times New Roman" w:hAnsi="Times New Roman" w:cs="Times New Roman"/>
        </w:rPr>
        <w:t>/2024 – FO/TC-</w:t>
      </w:r>
      <w:r w:rsidR="002C2F5D">
        <w:rPr>
          <w:rFonts w:ascii="Times New Roman" w:hAnsi="Times New Roman" w:cs="Times New Roman"/>
        </w:rPr>
        <w:t>3</w:t>
      </w:r>
      <w:r>
        <w:rPr>
          <w:rFonts w:ascii="Times New Roman" w:hAnsi="Times New Roman" w:cs="Times New Roman"/>
        </w:rPr>
        <w:t xml:space="preserve"> ze dne </w:t>
      </w:r>
      <w:r w:rsidR="002C2F5D">
        <w:rPr>
          <w:rFonts w:ascii="Times New Roman" w:hAnsi="Times New Roman" w:cs="Times New Roman"/>
        </w:rPr>
        <w:t>15</w:t>
      </w:r>
      <w:r w:rsidR="00085FC0">
        <w:rPr>
          <w:rFonts w:ascii="Times New Roman" w:hAnsi="Times New Roman" w:cs="Times New Roman"/>
        </w:rPr>
        <w:t>.0</w:t>
      </w:r>
      <w:r w:rsidR="002C2F5D">
        <w:rPr>
          <w:rFonts w:ascii="Times New Roman" w:hAnsi="Times New Roman" w:cs="Times New Roman"/>
        </w:rPr>
        <w:t>7</w:t>
      </w:r>
      <w:r w:rsidR="00085FC0">
        <w:rPr>
          <w:rFonts w:ascii="Times New Roman" w:hAnsi="Times New Roman" w:cs="Times New Roman"/>
        </w:rPr>
        <w:t>.2024).</w:t>
      </w:r>
    </w:p>
    <w:p w14:paraId="67BFDD98" w14:textId="77777777" w:rsidR="00636179" w:rsidRDefault="00636179">
      <w:pPr>
        <w:jc w:val="both"/>
        <w:rPr>
          <w:rFonts w:ascii="Times New Roman" w:hAnsi="Times New Roman" w:cs="Times New Roman"/>
        </w:rPr>
      </w:pPr>
    </w:p>
    <w:p w14:paraId="46A505A2" w14:textId="52173B92" w:rsidR="00636179" w:rsidRDefault="00000000">
      <w:pPr>
        <w:pStyle w:val="Odstavecseseznamem"/>
        <w:numPr>
          <w:ilvl w:val="0"/>
          <w:numId w:val="1"/>
        </w:numPr>
        <w:spacing w:after="0"/>
        <w:ind w:left="426" w:hanging="426"/>
        <w:jc w:val="both"/>
        <w:rPr>
          <w:rFonts w:ascii="Times New Roman" w:hAnsi="Times New Roman" w:cs="Times New Roman"/>
        </w:rPr>
      </w:pPr>
      <w:r>
        <w:rPr>
          <w:rFonts w:ascii="Times New Roman" w:hAnsi="Times New Roman" w:cs="Times New Roman"/>
        </w:rPr>
        <w:t xml:space="preserve">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 byl Příjemce </w:t>
      </w:r>
      <w:r w:rsidR="002C2F5D">
        <w:rPr>
          <w:rFonts w:ascii="Times New Roman" w:hAnsi="Times New Roman" w:cs="Times New Roman"/>
        </w:rPr>
        <w:t>„</w:t>
      </w:r>
      <w:r w:rsidR="002C2F5D">
        <w:rPr>
          <w:rFonts w:ascii="Times New Roman" w:hAnsi="Times New Roman" w:cs="Times New Roman"/>
        </w:rPr>
        <w:t xml:space="preserve">Pověřením Ministerstva práce a sociálních věcí k zajištění dostupnosti poskytování sociální služby celostátního či nadregionálního charakteru“ ze dne </w:t>
      </w:r>
      <w:r w:rsidR="002C2F5D">
        <w:rPr>
          <w:rFonts w:ascii="Times New Roman" w:hAnsi="Times New Roman" w:cs="Times New Roman"/>
        </w:rPr>
        <w:t>15</w:t>
      </w:r>
      <w:r w:rsidR="002C2F5D">
        <w:rPr>
          <w:rFonts w:ascii="Times New Roman" w:hAnsi="Times New Roman" w:cs="Times New Roman"/>
        </w:rPr>
        <w:t>.0</w:t>
      </w:r>
      <w:r w:rsidR="002C2F5D">
        <w:rPr>
          <w:rFonts w:ascii="Times New Roman" w:hAnsi="Times New Roman" w:cs="Times New Roman"/>
        </w:rPr>
        <w:t>4</w:t>
      </w:r>
      <w:r w:rsidR="002C2F5D">
        <w:rPr>
          <w:rFonts w:ascii="Times New Roman" w:hAnsi="Times New Roman" w:cs="Times New Roman"/>
        </w:rPr>
        <w:t xml:space="preserve">.2024, vydaným na rok 2024, zařazen mezi veřejně podporované sociální služby s celostátní a nadregionální působností za účelem zajištění dostupnosti poskytování sociálních služeb </w:t>
      </w:r>
      <w:r w:rsidR="00DB51F7">
        <w:rPr>
          <w:rFonts w:ascii="Times New Roman" w:hAnsi="Times New Roman" w:cs="Times New Roman"/>
        </w:rPr>
        <w:t>a pověřen k výkonu sociálně aktivizačních služeb pro seniory a osoby se zdravotním postižením</w:t>
      </w:r>
      <w:r w:rsidR="002C2F5D">
        <w:rPr>
          <w:rFonts w:ascii="Times New Roman" w:hAnsi="Times New Roman" w:cs="Times New Roman"/>
        </w:rPr>
        <w:t xml:space="preserve">, zaregistrovaných jako služby obecného hospodářského zájmu (SOHZ) pod číslem </w:t>
      </w:r>
      <w:r w:rsidR="00DB51F7">
        <w:rPr>
          <w:rFonts w:ascii="Times New Roman" w:hAnsi="Times New Roman" w:cs="Times New Roman"/>
        </w:rPr>
        <w:t>2026800</w:t>
      </w:r>
      <w:r w:rsidR="002C2F5D">
        <w:rPr>
          <w:rFonts w:ascii="Times New Roman" w:hAnsi="Times New Roman" w:cs="Times New Roman"/>
        </w:rPr>
        <w:t>.</w:t>
      </w:r>
    </w:p>
    <w:p w14:paraId="43D5E387" w14:textId="77777777" w:rsidR="00636179" w:rsidRDefault="00636179">
      <w:pPr>
        <w:jc w:val="both"/>
        <w:rPr>
          <w:rFonts w:ascii="Times New Roman" w:hAnsi="Times New Roman" w:cs="Times New Roman"/>
        </w:rPr>
      </w:pPr>
    </w:p>
    <w:p w14:paraId="7F869D69" w14:textId="6CB17D22" w:rsidR="00636179" w:rsidRDefault="00000000">
      <w:pPr>
        <w:pStyle w:val="Odstavecseseznamem"/>
        <w:numPr>
          <w:ilvl w:val="0"/>
          <w:numId w:val="1"/>
        </w:numPr>
        <w:spacing w:after="0"/>
        <w:ind w:left="426" w:hanging="426"/>
        <w:jc w:val="both"/>
        <w:rPr>
          <w:rFonts w:ascii="Times New Roman" w:hAnsi="Times New Roman" w:cs="Times New Roman"/>
        </w:rPr>
      </w:pPr>
      <w:r>
        <w:rPr>
          <w:rFonts w:ascii="Times New Roman" w:hAnsi="Times New Roman" w:cs="Times New Roman"/>
        </w:rPr>
        <w:t>Za poskytování sociálních služeb uvedených v čl. I. bod 2. této Smlouvy byla Příjemci stanovena</w:t>
      </w:r>
      <w:r w:rsidR="006B3FCE">
        <w:rPr>
          <w:rFonts w:ascii="Times New Roman" w:hAnsi="Times New Roman" w:cs="Times New Roman"/>
        </w:rPr>
        <w:t xml:space="preserve"> </w:t>
      </w:r>
      <w:r>
        <w:rPr>
          <w:rFonts w:ascii="Times New Roman" w:hAnsi="Times New Roman" w:cs="Times New Roman"/>
        </w:rPr>
        <w:t xml:space="preserve">vyrovnávací platba (viz tabulka níže). Poskytovatel se připojuje k pověření a poskytuje finanční prostředky ve výši </w:t>
      </w:r>
      <w:proofErr w:type="spellStart"/>
      <w:proofErr w:type="gramStart"/>
      <w:r>
        <w:rPr>
          <w:rFonts w:ascii="Times New Roman" w:hAnsi="Times New Roman" w:cs="Times New Roman"/>
          <w:b/>
          <w:bCs/>
          <w:shd w:val="clear" w:color="auto" w:fill="FFFF00"/>
        </w:rPr>
        <w:t>xxx</w:t>
      </w:r>
      <w:proofErr w:type="spellEnd"/>
      <w:r>
        <w:rPr>
          <w:rFonts w:ascii="Times New Roman" w:hAnsi="Times New Roman" w:cs="Times New Roman"/>
          <w:b/>
          <w:bCs/>
          <w:shd w:val="clear" w:color="auto" w:fill="FFFF00"/>
        </w:rPr>
        <w:t>,-</w:t>
      </w:r>
      <w:proofErr w:type="gramEnd"/>
      <w:r>
        <w:rPr>
          <w:rFonts w:ascii="Times New Roman" w:hAnsi="Times New Roman" w:cs="Times New Roman"/>
          <w:b/>
          <w:bCs/>
          <w:shd w:val="clear" w:color="auto" w:fill="FFFF00"/>
        </w:rPr>
        <w:t xml:space="preserve"> Kč</w:t>
      </w:r>
      <w:r>
        <w:rPr>
          <w:rFonts w:ascii="Times New Roman" w:hAnsi="Times New Roman" w:cs="Times New Roman"/>
          <w:shd w:val="clear" w:color="auto" w:fill="FFFF00"/>
        </w:rPr>
        <w:t xml:space="preserve"> </w:t>
      </w:r>
      <w:r>
        <w:rPr>
          <w:rFonts w:ascii="Times New Roman" w:hAnsi="Times New Roman" w:cs="Times New Roman"/>
          <w:b/>
          <w:bCs/>
          <w:shd w:val="clear" w:color="auto" w:fill="FFFF00"/>
        </w:rPr>
        <w:t xml:space="preserve">(slovy: </w:t>
      </w:r>
      <w:proofErr w:type="spellStart"/>
      <w:r>
        <w:rPr>
          <w:rFonts w:ascii="Times New Roman" w:hAnsi="Times New Roman" w:cs="Times New Roman"/>
          <w:b/>
          <w:bCs/>
          <w:shd w:val="clear" w:color="auto" w:fill="FFFF00"/>
        </w:rPr>
        <w:t>xxx</w:t>
      </w:r>
      <w:proofErr w:type="spellEnd"/>
      <w:r>
        <w:rPr>
          <w:rFonts w:ascii="Times New Roman" w:hAnsi="Times New Roman" w:cs="Times New Roman"/>
          <w:b/>
          <w:bCs/>
          <w:shd w:val="clear" w:color="auto" w:fill="FFFF00"/>
        </w:rPr>
        <w:t>)</w:t>
      </w:r>
      <w:r>
        <w:rPr>
          <w:rFonts w:ascii="Times New Roman" w:hAnsi="Times New Roman" w:cs="Times New Roman"/>
        </w:rPr>
        <w:t xml:space="preserve"> jako součást vyrovnávací platby.</w:t>
      </w:r>
    </w:p>
    <w:p w14:paraId="6A51D082" w14:textId="77777777" w:rsidR="00636179" w:rsidRPr="00A42EFE" w:rsidRDefault="00636179" w:rsidP="00A42EFE">
      <w:pPr>
        <w:rPr>
          <w:rFonts w:ascii="Times New Roman" w:hAnsi="Times New Roman" w:cs="Times New Roman"/>
        </w:rPr>
      </w:pPr>
    </w:p>
    <w:tbl>
      <w:tblPr>
        <w:tblW w:w="8702" w:type="dxa"/>
        <w:tblInd w:w="360" w:type="dxa"/>
        <w:tblLayout w:type="fixed"/>
        <w:tblLook w:val="04A0" w:firstRow="1" w:lastRow="0" w:firstColumn="1" w:lastColumn="0" w:noHBand="0" w:noVBand="1"/>
      </w:tblPr>
      <w:tblGrid>
        <w:gridCol w:w="3075"/>
        <w:gridCol w:w="1717"/>
        <w:gridCol w:w="2100"/>
        <w:gridCol w:w="1810"/>
      </w:tblGrid>
      <w:tr w:rsidR="00636179" w14:paraId="6C2B7A3F" w14:textId="77777777" w:rsidTr="00085FC0">
        <w:trPr>
          <w:trHeight w:val="856"/>
        </w:trPr>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905BC" w14:textId="77777777" w:rsidR="00636179" w:rsidRDefault="00000000">
            <w:pPr>
              <w:pStyle w:val="NormlnIMP"/>
              <w:jc w:val="center"/>
              <w:rPr>
                <w:b/>
                <w:bCs/>
              </w:rPr>
            </w:pPr>
            <w:r>
              <w:rPr>
                <w:b/>
                <w:bCs/>
              </w:rPr>
              <w:lastRenderedPageBreak/>
              <w:t>SOHZ</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DD676" w14:textId="77777777" w:rsidR="00636179" w:rsidRDefault="00000000">
            <w:pPr>
              <w:pStyle w:val="NormlnIMP"/>
              <w:jc w:val="center"/>
              <w:rPr>
                <w:b/>
                <w:bCs/>
              </w:rPr>
            </w:pPr>
            <w:r>
              <w:rPr>
                <w:b/>
                <w:bCs/>
              </w:rPr>
              <w:t>Identifikátor sociální služby</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94C8E" w14:textId="3379534A" w:rsidR="00636179" w:rsidRDefault="00000000">
            <w:pPr>
              <w:pStyle w:val="NormlnIMP"/>
              <w:jc w:val="center"/>
              <w:rPr>
                <w:b/>
                <w:bCs/>
              </w:rPr>
            </w:pPr>
            <w:r>
              <w:rPr>
                <w:b/>
                <w:bCs/>
              </w:rPr>
              <w:t xml:space="preserve">Vyrovnávací platba </w:t>
            </w:r>
            <w:r w:rsidR="007E4AAB">
              <w:rPr>
                <w:b/>
                <w:bCs/>
              </w:rPr>
              <w:t>MPSV</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A9556" w14:textId="77777777" w:rsidR="00636179" w:rsidRDefault="00636179">
            <w:pPr>
              <w:pStyle w:val="NormlnIMP"/>
              <w:jc w:val="center"/>
              <w:rPr>
                <w:b/>
                <w:bCs/>
              </w:rPr>
            </w:pPr>
          </w:p>
          <w:p w14:paraId="36FFF576" w14:textId="77777777" w:rsidR="00636179" w:rsidRDefault="00000000">
            <w:pPr>
              <w:pStyle w:val="NormlnIMP"/>
              <w:jc w:val="center"/>
              <w:rPr>
                <w:b/>
                <w:bCs/>
              </w:rPr>
            </w:pPr>
            <w:r>
              <w:rPr>
                <w:b/>
                <w:bCs/>
              </w:rPr>
              <w:t>Připojení Poskytovatele</w:t>
            </w:r>
          </w:p>
          <w:p w14:paraId="147874F4" w14:textId="77777777" w:rsidR="00636179" w:rsidRDefault="00636179">
            <w:pPr>
              <w:pStyle w:val="NormlnIMP"/>
              <w:jc w:val="center"/>
              <w:rPr>
                <w:b/>
                <w:bCs/>
              </w:rPr>
            </w:pPr>
          </w:p>
        </w:tc>
      </w:tr>
      <w:tr w:rsidR="00085FC0" w14:paraId="2AA243CE" w14:textId="77777777" w:rsidTr="00085FC0">
        <w:trPr>
          <w:trHeight w:val="416"/>
        </w:trPr>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31F3" w14:textId="335FF075" w:rsidR="00085FC0" w:rsidRPr="00085FC0" w:rsidRDefault="00DB51F7">
            <w:pPr>
              <w:pStyle w:val="NormlnIMP"/>
              <w:jc w:val="center"/>
            </w:pPr>
            <w:r w:rsidRPr="00DB51F7">
              <w:t>Sociálně aktivizační služby pro seniory a osoby se zdravotním postižením</w:t>
            </w:r>
          </w:p>
        </w:tc>
        <w:tc>
          <w:tcPr>
            <w:tcW w:w="1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AE61D" w14:textId="51FA0D39" w:rsidR="00085FC0" w:rsidRPr="00085FC0" w:rsidRDefault="00DB51F7">
            <w:pPr>
              <w:pStyle w:val="NormlnIMP"/>
              <w:jc w:val="center"/>
            </w:pPr>
            <w:r>
              <w:t>2026800</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A87CD" w14:textId="538F6BB0" w:rsidR="00085FC0" w:rsidRPr="00085FC0" w:rsidRDefault="007E4AAB">
            <w:pPr>
              <w:pStyle w:val="NormlnIMP"/>
              <w:jc w:val="center"/>
            </w:pPr>
            <w:proofErr w:type="gramStart"/>
            <w:r>
              <w:t>17.352.660</w:t>
            </w:r>
            <w:r w:rsidR="00085FC0" w:rsidRPr="00085FC0">
              <w:t>,-</w:t>
            </w:r>
            <w:proofErr w:type="gramEnd"/>
            <w:r w:rsidR="00085FC0" w:rsidRPr="00085FC0">
              <w:t xml:space="preserve"> Kč</w:t>
            </w:r>
          </w:p>
        </w:tc>
        <w:tc>
          <w:tcPr>
            <w:tcW w:w="1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8B630" w14:textId="263FE0D2" w:rsidR="00085FC0" w:rsidRPr="00322CD4" w:rsidRDefault="00085FC0">
            <w:pPr>
              <w:pStyle w:val="NormlnIMP"/>
              <w:jc w:val="center"/>
              <w:rPr>
                <w:b/>
                <w:bCs/>
              </w:rPr>
            </w:pPr>
            <w:proofErr w:type="spellStart"/>
            <w:proofErr w:type="gramStart"/>
            <w:r w:rsidRPr="00322CD4">
              <w:rPr>
                <w:b/>
                <w:bCs/>
              </w:rPr>
              <w:t>xxx</w:t>
            </w:r>
            <w:proofErr w:type="spellEnd"/>
            <w:r w:rsidRPr="00322CD4">
              <w:rPr>
                <w:b/>
                <w:bCs/>
              </w:rPr>
              <w:t>,-</w:t>
            </w:r>
            <w:proofErr w:type="gramEnd"/>
            <w:r w:rsidRPr="00322CD4">
              <w:rPr>
                <w:b/>
                <w:bCs/>
              </w:rPr>
              <w:t xml:space="preserve"> Kč</w:t>
            </w:r>
          </w:p>
        </w:tc>
      </w:tr>
    </w:tbl>
    <w:p w14:paraId="59DC388D" w14:textId="77777777" w:rsidR="00636179" w:rsidRDefault="00636179">
      <w:pPr>
        <w:jc w:val="both"/>
        <w:rPr>
          <w:rFonts w:ascii="Times New Roman" w:hAnsi="Times New Roman" w:cs="Times New Roman"/>
        </w:rPr>
      </w:pPr>
    </w:p>
    <w:p w14:paraId="70727141" w14:textId="77777777" w:rsidR="00636179" w:rsidRDefault="00636179">
      <w:pPr>
        <w:jc w:val="both"/>
        <w:rPr>
          <w:rFonts w:ascii="Times New Roman" w:hAnsi="Times New Roman" w:cs="Times New Roman"/>
        </w:rPr>
      </w:pPr>
    </w:p>
    <w:p w14:paraId="716FCA5D" w14:textId="77777777" w:rsidR="00636179" w:rsidRDefault="00000000">
      <w:pPr>
        <w:jc w:val="center"/>
        <w:rPr>
          <w:rFonts w:ascii="Times New Roman" w:hAnsi="Times New Roman" w:cs="Times New Roman"/>
          <w:b/>
          <w:bCs/>
        </w:rPr>
      </w:pPr>
      <w:r>
        <w:rPr>
          <w:rFonts w:ascii="Times New Roman" w:hAnsi="Times New Roman" w:cs="Times New Roman"/>
          <w:b/>
          <w:bCs/>
        </w:rPr>
        <w:t>Článek II.</w:t>
      </w:r>
    </w:p>
    <w:p w14:paraId="68B34672" w14:textId="77777777" w:rsidR="00636179" w:rsidRDefault="00636179">
      <w:pPr>
        <w:jc w:val="center"/>
        <w:rPr>
          <w:rFonts w:ascii="Times New Roman" w:hAnsi="Times New Roman" w:cs="Times New Roman"/>
          <w:b/>
          <w:bCs/>
        </w:rPr>
      </w:pPr>
    </w:p>
    <w:p w14:paraId="40A27C93" w14:textId="77777777" w:rsidR="00636179" w:rsidRDefault="00000000">
      <w:pPr>
        <w:pStyle w:val="Odstavecseseznamem"/>
        <w:numPr>
          <w:ilvl w:val="0"/>
          <w:numId w:val="2"/>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Poskytovatel se zavazuje poskytnout Příjemci finanční dotaci pro účel uvedený v článku I. této Smlouvy, a to za podmínek stanovených touto Smlouvou a Zásadami pro poskytování dotací z rozpočtu Města Tachova schválenými usnesením Zastupitelstva města Tachova č. 11/219 ze dne 08.02.2016. Dotace se poskytuje jako neinvestiční. </w:t>
      </w:r>
    </w:p>
    <w:p w14:paraId="3491E23A" w14:textId="77777777" w:rsidR="00636179" w:rsidRDefault="00636179">
      <w:pPr>
        <w:tabs>
          <w:tab w:val="left" w:pos="426"/>
        </w:tabs>
        <w:jc w:val="both"/>
        <w:rPr>
          <w:rFonts w:ascii="Times New Roman" w:hAnsi="Times New Roman" w:cs="Times New Roman"/>
        </w:rPr>
      </w:pPr>
    </w:p>
    <w:p w14:paraId="5BA0A834" w14:textId="68C7CBE5"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Příjemce je oprávněn použít dotaci výhradně na účel uvedený v článku I. Smlouvy a zavazuje se splnit podmínky stanovené touto Smlouvou a Zásadami pro poskytování dotací z rozpočtu Města Tachova schválenými usnesením Zastupitelstva města Tachova č. 11/219 ze dne 08.02.2016.</w:t>
      </w:r>
    </w:p>
    <w:p w14:paraId="3D61CAA0" w14:textId="77777777" w:rsidR="00636179" w:rsidRDefault="00636179">
      <w:pPr>
        <w:jc w:val="both"/>
        <w:rPr>
          <w:rFonts w:ascii="Times New Roman" w:hAnsi="Times New Roman" w:cs="Times New Roman"/>
        </w:rPr>
      </w:pPr>
    </w:p>
    <w:p w14:paraId="6BA74001" w14:textId="7D280695"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Poskytovatel uvolní finanční prostředky v souladu s článkem I. Smlouvy na základě Příjemcem předložených dokladů prokazujících úhradu vynaložených finančních prostředků Příjemcem. Příjemce může nárokovat finanční prostředky vynaložené v souladu s článkem I. Smlouvy a uhrazené v období od 01.01.20</w:t>
      </w:r>
      <w:r w:rsidR="007B6ADD">
        <w:rPr>
          <w:rFonts w:ascii="Times New Roman" w:hAnsi="Times New Roman" w:cs="Times New Roman"/>
        </w:rPr>
        <w:t>24</w:t>
      </w:r>
      <w:r>
        <w:rPr>
          <w:rFonts w:ascii="Times New Roman" w:hAnsi="Times New Roman" w:cs="Times New Roman"/>
        </w:rPr>
        <w:t xml:space="preserve"> do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w:t>
      </w:r>
    </w:p>
    <w:p w14:paraId="0A4F4514" w14:textId="77777777" w:rsidR="00636179" w:rsidRDefault="00636179">
      <w:pPr>
        <w:jc w:val="both"/>
        <w:rPr>
          <w:rFonts w:ascii="Times New Roman" w:hAnsi="Times New Roman" w:cs="Times New Roman"/>
        </w:rPr>
      </w:pPr>
    </w:p>
    <w:p w14:paraId="1E19B429" w14:textId="3DC36575"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Na uvedený Projekt může být Příjemcem vystavena faktura, jejíž přílohou budou doklady dle článku VI. bod 1</w:t>
      </w:r>
      <w:r w:rsidR="00A42EFE">
        <w:rPr>
          <w:rFonts w:ascii="Times New Roman" w:hAnsi="Times New Roman" w:cs="Times New Roman"/>
        </w:rPr>
        <w:t xml:space="preserve"> této Smlouvy</w:t>
      </w:r>
      <w:r>
        <w:rPr>
          <w:rFonts w:ascii="Times New Roman" w:hAnsi="Times New Roman" w:cs="Times New Roman"/>
        </w:rPr>
        <w:t>.</w:t>
      </w:r>
    </w:p>
    <w:p w14:paraId="5B213C98" w14:textId="77777777" w:rsidR="00636179" w:rsidRDefault="00636179">
      <w:pPr>
        <w:pStyle w:val="Odstavecseseznamem"/>
        <w:rPr>
          <w:rFonts w:ascii="Times New Roman" w:hAnsi="Times New Roman" w:cs="Times New Roman"/>
        </w:rPr>
      </w:pPr>
    </w:p>
    <w:p w14:paraId="251E79CC" w14:textId="6276206C"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 xml:space="preserve">Příjemce je povinen při vypořádání dotace informovat Poskytovatele, že obdržel dotaci na shodný účel uvedený v čl. I. této Smlouvy od jiného subjektu. Příjemce je povinen zajistit, aby celková částka dotací na </w:t>
      </w:r>
      <w:r w:rsidR="00725728">
        <w:rPr>
          <w:rFonts w:ascii="Times New Roman" w:hAnsi="Times New Roman" w:cs="Times New Roman"/>
        </w:rPr>
        <w:t>P</w:t>
      </w:r>
      <w:r>
        <w:rPr>
          <w:rFonts w:ascii="Times New Roman" w:hAnsi="Times New Roman" w:cs="Times New Roman"/>
        </w:rPr>
        <w:t>rojekt od Poskytovatele a jiných subjektů nepřekročila 100 % celkových nákladů na Projekt. V případě porušení povinnosti dle věty prvé tohoto odstavce je Příjemce povinen vrátit Poskytovateli dotaci v celé výši, v případě porušení povinnosti dle věty druhé tohoto odstavce, je povinen vrátit část dotace, která přesahuje 100 % nákladů na Projekt, popř. dosud nevyplacená dotace bude v odpovídající míře krácena.</w:t>
      </w:r>
    </w:p>
    <w:p w14:paraId="1D335423" w14:textId="77777777" w:rsidR="00636179" w:rsidRDefault="00636179">
      <w:pPr>
        <w:pStyle w:val="Odstavecseseznamem"/>
        <w:rPr>
          <w:rFonts w:ascii="Times New Roman" w:hAnsi="Times New Roman" w:cs="Times New Roman"/>
        </w:rPr>
      </w:pPr>
    </w:p>
    <w:p w14:paraId="552F9210" w14:textId="2A419F68"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Stanoveného účelu dotace má být dosaženo do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 Datum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 xml:space="preserve"> je zároveň nejzazší termín pro podání finančního vypořádání dotace. V případě nedočerpání dotace se finanční prostředky nepřevádějí do následujícího roku, ale zůstávají na účtu Poskytovatele.</w:t>
      </w:r>
    </w:p>
    <w:p w14:paraId="1D03575E" w14:textId="77777777" w:rsidR="00636179" w:rsidRDefault="00636179">
      <w:pPr>
        <w:pStyle w:val="Odstavecseseznamem"/>
        <w:rPr>
          <w:rFonts w:ascii="Times New Roman" w:hAnsi="Times New Roman" w:cs="Times New Roman"/>
        </w:rPr>
      </w:pPr>
    </w:p>
    <w:p w14:paraId="243B65AD" w14:textId="7A293722" w:rsidR="00636179" w:rsidRDefault="00000000">
      <w:pPr>
        <w:pStyle w:val="Odstavecseseznamem"/>
        <w:numPr>
          <w:ilvl w:val="0"/>
          <w:numId w:val="2"/>
        </w:numPr>
        <w:spacing w:after="0"/>
        <w:ind w:left="426" w:hanging="426"/>
        <w:jc w:val="both"/>
        <w:rPr>
          <w:rFonts w:ascii="Times New Roman" w:hAnsi="Times New Roman" w:cs="Times New Roman"/>
        </w:rPr>
      </w:pPr>
      <w:r>
        <w:rPr>
          <w:rFonts w:ascii="Times New Roman" w:hAnsi="Times New Roman" w:cs="Times New Roman"/>
        </w:rPr>
        <w:t>O užití dotace vede Příjemce průkaznou účetní nebo jinou evidenci. Příjemce se zavazuje uchovávat tuto evidenci po dobu deseti let od 01.01.20</w:t>
      </w:r>
      <w:r w:rsidR="007B6ADD">
        <w:rPr>
          <w:rFonts w:ascii="Times New Roman" w:hAnsi="Times New Roman" w:cs="Times New Roman"/>
        </w:rPr>
        <w:t>25</w:t>
      </w:r>
      <w:r>
        <w:rPr>
          <w:rFonts w:ascii="Times New Roman" w:hAnsi="Times New Roman" w:cs="Times New Roman"/>
        </w:rPr>
        <w:t>.</w:t>
      </w:r>
    </w:p>
    <w:p w14:paraId="15B85DFD" w14:textId="77777777" w:rsidR="00636179" w:rsidRDefault="00636179">
      <w:pPr>
        <w:pStyle w:val="Odstavecseseznamem"/>
        <w:ind w:left="426" w:hanging="426"/>
        <w:rPr>
          <w:rFonts w:ascii="Times New Roman" w:hAnsi="Times New Roman" w:cs="Times New Roman"/>
        </w:rPr>
      </w:pPr>
    </w:p>
    <w:p w14:paraId="5CFA78F7" w14:textId="77777777" w:rsidR="00636179" w:rsidRDefault="00000000">
      <w:pPr>
        <w:pStyle w:val="Odstavecseseznamem"/>
        <w:jc w:val="center"/>
        <w:rPr>
          <w:rFonts w:ascii="Times New Roman" w:hAnsi="Times New Roman" w:cs="Times New Roman"/>
          <w:b/>
          <w:bCs/>
        </w:rPr>
      </w:pPr>
      <w:r>
        <w:rPr>
          <w:rFonts w:ascii="Times New Roman" w:hAnsi="Times New Roman" w:cs="Times New Roman"/>
          <w:b/>
          <w:bCs/>
        </w:rPr>
        <w:t>Článek III.</w:t>
      </w:r>
    </w:p>
    <w:p w14:paraId="0FFF9591" w14:textId="77777777" w:rsidR="00636179" w:rsidRDefault="00636179">
      <w:pPr>
        <w:pStyle w:val="Odstavecseseznamem"/>
        <w:jc w:val="center"/>
        <w:rPr>
          <w:rFonts w:ascii="Times New Roman" w:hAnsi="Times New Roman" w:cs="Times New Roman"/>
          <w:b/>
          <w:bCs/>
        </w:rPr>
      </w:pPr>
    </w:p>
    <w:p w14:paraId="5B199C7D" w14:textId="6F14A7EF" w:rsidR="00636179" w:rsidRDefault="00000000">
      <w:pPr>
        <w:pStyle w:val="Odstavecseseznamem"/>
        <w:numPr>
          <w:ilvl w:val="0"/>
          <w:numId w:val="3"/>
        </w:numPr>
        <w:spacing w:after="0"/>
        <w:ind w:left="426" w:hanging="426"/>
        <w:jc w:val="both"/>
        <w:rPr>
          <w:rFonts w:ascii="Times New Roman" w:hAnsi="Times New Roman" w:cs="Times New Roman"/>
        </w:rPr>
      </w:pPr>
      <w:r>
        <w:rPr>
          <w:rFonts w:ascii="Times New Roman" w:hAnsi="Times New Roman" w:cs="Times New Roman"/>
        </w:rPr>
        <w:t xml:space="preserve">Příjemce se zavazuje při jakékoli formě publicity </w:t>
      </w:r>
      <w:r w:rsidR="007424DC">
        <w:rPr>
          <w:rFonts w:ascii="Times New Roman" w:hAnsi="Times New Roman" w:cs="Times New Roman"/>
        </w:rPr>
        <w:t>P</w:t>
      </w:r>
      <w:r>
        <w:rPr>
          <w:rFonts w:ascii="Times New Roman" w:hAnsi="Times New Roman" w:cs="Times New Roman"/>
        </w:rPr>
        <w:t xml:space="preserve">rojektu uvádět, že </w:t>
      </w:r>
      <w:r w:rsidR="007424DC">
        <w:rPr>
          <w:rFonts w:ascii="Times New Roman" w:hAnsi="Times New Roman" w:cs="Times New Roman"/>
        </w:rPr>
        <w:t>P</w:t>
      </w:r>
      <w:r>
        <w:rPr>
          <w:rFonts w:ascii="Times New Roman" w:hAnsi="Times New Roman" w:cs="Times New Roman"/>
        </w:rPr>
        <w:t>rojekt byl uskutečněn za finanční podpory Města Tachov.</w:t>
      </w:r>
    </w:p>
    <w:p w14:paraId="009545D3" w14:textId="77777777" w:rsidR="00636179" w:rsidRDefault="00636179">
      <w:pPr>
        <w:jc w:val="both"/>
        <w:rPr>
          <w:rFonts w:ascii="Times New Roman" w:hAnsi="Times New Roman" w:cs="Times New Roman"/>
        </w:rPr>
      </w:pPr>
    </w:p>
    <w:p w14:paraId="79A45E08" w14:textId="491B7842" w:rsidR="00636179" w:rsidRDefault="00000000">
      <w:pPr>
        <w:pStyle w:val="Odstavecseseznamem"/>
        <w:numPr>
          <w:ilvl w:val="0"/>
          <w:numId w:val="3"/>
        </w:numPr>
        <w:spacing w:after="0"/>
        <w:ind w:left="426" w:hanging="426"/>
        <w:jc w:val="both"/>
        <w:rPr>
          <w:rFonts w:ascii="Times New Roman" w:hAnsi="Times New Roman" w:cs="Times New Roman"/>
        </w:rPr>
      </w:pPr>
      <w:r>
        <w:rPr>
          <w:rFonts w:ascii="Times New Roman" w:hAnsi="Times New Roman" w:cs="Times New Roman"/>
        </w:rPr>
        <w:t xml:space="preserve">Příjemce se zavazuje, s ohledem na charakter realizace dotovaného </w:t>
      </w:r>
      <w:r w:rsidR="007424DC">
        <w:rPr>
          <w:rFonts w:ascii="Times New Roman" w:hAnsi="Times New Roman" w:cs="Times New Roman"/>
        </w:rPr>
        <w:t>P</w:t>
      </w:r>
      <w:r>
        <w:rPr>
          <w:rFonts w:ascii="Times New Roman" w:hAnsi="Times New Roman" w:cs="Times New Roman"/>
        </w:rPr>
        <w:t>rojektu:</w:t>
      </w:r>
    </w:p>
    <w:p w14:paraId="31B84375" w14:textId="77777777" w:rsidR="00636179" w:rsidRDefault="00000000">
      <w:pPr>
        <w:pStyle w:val="Odstavecseseznamem"/>
        <w:numPr>
          <w:ilvl w:val="0"/>
          <w:numId w:val="4"/>
        </w:numPr>
        <w:spacing w:after="0"/>
        <w:ind w:left="709" w:hanging="283"/>
        <w:jc w:val="both"/>
        <w:rPr>
          <w:rFonts w:ascii="Times New Roman" w:hAnsi="Times New Roman" w:cs="Times New Roman"/>
        </w:rPr>
      </w:pPr>
      <w:r>
        <w:rPr>
          <w:rFonts w:ascii="Times New Roman" w:hAnsi="Times New Roman" w:cs="Times New Roman"/>
        </w:rPr>
        <w:t>viditelně umístit logo Města Tachov na veškeré propagační materiály související s Projektem,</w:t>
      </w:r>
    </w:p>
    <w:p w14:paraId="0500A9C3" w14:textId="77777777" w:rsidR="00636179" w:rsidRDefault="00000000">
      <w:pPr>
        <w:pStyle w:val="Odstavecseseznamem"/>
        <w:numPr>
          <w:ilvl w:val="0"/>
          <w:numId w:val="4"/>
        </w:numPr>
        <w:spacing w:after="0"/>
        <w:ind w:left="709" w:hanging="283"/>
        <w:jc w:val="both"/>
        <w:rPr>
          <w:rFonts w:ascii="Times New Roman" w:hAnsi="Times New Roman" w:cs="Times New Roman"/>
        </w:rPr>
      </w:pPr>
      <w:r>
        <w:rPr>
          <w:rFonts w:ascii="Times New Roman" w:hAnsi="Times New Roman" w:cs="Times New Roman"/>
        </w:rPr>
        <w:t>v případě, kdy je účelem Projektu vytvoření knižní publikace, umístit na samostatnou stránku v publikaci logo Města Tachov, společně s informací, že publikace byla vydána za finanční podpory Města Tachov.</w:t>
      </w:r>
    </w:p>
    <w:p w14:paraId="057D518B" w14:textId="77777777" w:rsidR="00636179" w:rsidRDefault="00636179">
      <w:pPr>
        <w:ind w:left="426"/>
        <w:rPr>
          <w:rFonts w:ascii="Times New Roman" w:hAnsi="Times New Roman" w:cs="Times New Roman"/>
        </w:rPr>
      </w:pPr>
    </w:p>
    <w:p w14:paraId="33AE01B6" w14:textId="77777777" w:rsidR="00636179" w:rsidRDefault="00000000">
      <w:pPr>
        <w:pStyle w:val="Odstavecseseznamem"/>
        <w:numPr>
          <w:ilvl w:val="0"/>
          <w:numId w:val="3"/>
        </w:numPr>
        <w:tabs>
          <w:tab w:val="left" w:pos="1278"/>
        </w:tabs>
        <w:spacing w:after="0"/>
        <w:ind w:left="426" w:hanging="426"/>
        <w:jc w:val="both"/>
        <w:rPr>
          <w:rFonts w:ascii="Times New Roman" w:hAnsi="Times New Roman" w:cs="Times New Roman"/>
        </w:rPr>
      </w:pPr>
      <w:r>
        <w:rPr>
          <w:rFonts w:ascii="Times New Roman" w:hAnsi="Times New Roman" w:cs="Times New Roman"/>
        </w:rPr>
        <w:t>Příjemce se zavazuje, že:</w:t>
      </w:r>
    </w:p>
    <w:p w14:paraId="35847025" w14:textId="77777777" w:rsidR="00636179" w:rsidRDefault="00000000">
      <w:pPr>
        <w:pStyle w:val="Odstavecseseznamem"/>
        <w:numPr>
          <w:ilvl w:val="0"/>
          <w:numId w:val="5"/>
        </w:numPr>
        <w:tabs>
          <w:tab w:val="left" w:pos="1866"/>
        </w:tabs>
        <w:spacing w:after="0"/>
        <w:jc w:val="both"/>
        <w:rPr>
          <w:rFonts w:ascii="Times New Roman" w:hAnsi="Times New Roman" w:cs="Times New Roman"/>
        </w:rPr>
      </w:pPr>
      <w:r>
        <w:rPr>
          <w:rFonts w:ascii="Times New Roman" w:hAnsi="Times New Roman" w:cs="Times New Roman"/>
        </w:rPr>
        <w:t>použije logo Města Tachov výhradně k účelu, ke kterému mu bylo poskytnuto,</w:t>
      </w:r>
    </w:p>
    <w:p w14:paraId="34CF0ACB" w14:textId="77777777" w:rsidR="00636179" w:rsidRDefault="00000000">
      <w:pPr>
        <w:pStyle w:val="Odstavecseseznamem"/>
        <w:numPr>
          <w:ilvl w:val="0"/>
          <w:numId w:val="5"/>
        </w:numPr>
        <w:tabs>
          <w:tab w:val="left" w:pos="1866"/>
        </w:tabs>
        <w:spacing w:after="0"/>
        <w:jc w:val="both"/>
        <w:rPr>
          <w:rFonts w:ascii="Times New Roman" w:hAnsi="Times New Roman" w:cs="Times New Roman"/>
        </w:rPr>
      </w:pPr>
      <w:r>
        <w:rPr>
          <w:rFonts w:ascii="Times New Roman" w:hAnsi="Times New Roman" w:cs="Times New Roman"/>
        </w:rPr>
        <w:t>logo Města Tachov nebude jeho užitím zneváženo a zneužito; zejména že užitím loga Města Tachov nedojde ke znevážení nebo poškození dobré pověsti nebo dobrého jména Města Tachov.</w:t>
      </w:r>
    </w:p>
    <w:p w14:paraId="05DDCEF0" w14:textId="77777777" w:rsidR="00636179" w:rsidRDefault="00636179">
      <w:pPr>
        <w:tabs>
          <w:tab w:val="left" w:pos="426"/>
        </w:tabs>
        <w:rPr>
          <w:rFonts w:ascii="Times New Roman" w:hAnsi="Times New Roman" w:cs="Times New Roman"/>
        </w:rPr>
      </w:pPr>
    </w:p>
    <w:p w14:paraId="295881B7" w14:textId="77777777" w:rsidR="00636179" w:rsidRDefault="00000000">
      <w:pPr>
        <w:pStyle w:val="Odstavecseseznamem"/>
        <w:numPr>
          <w:ilvl w:val="0"/>
          <w:numId w:val="3"/>
        </w:numPr>
        <w:tabs>
          <w:tab w:val="left" w:pos="1278"/>
        </w:tabs>
        <w:spacing w:after="0"/>
        <w:ind w:left="426" w:hanging="426"/>
        <w:jc w:val="both"/>
        <w:rPr>
          <w:rFonts w:ascii="Times New Roman" w:hAnsi="Times New Roman" w:cs="Times New Roman"/>
        </w:rPr>
      </w:pPr>
      <w:r>
        <w:rPr>
          <w:rFonts w:ascii="Times New Roman" w:hAnsi="Times New Roman" w:cs="Times New Roman"/>
        </w:rPr>
        <w:t>Dohled nad správným a důstojným užíváním loga, v souladu s veřejným pořádkem, vykonává Městský úřad Tachov (dále jen „</w:t>
      </w:r>
      <w:proofErr w:type="spellStart"/>
      <w:r>
        <w:rPr>
          <w:rFonts w:ascii="Times New Roman" w:hAnsi="Times New Roman" w:cs="Times New Roman"/>
        </w:rPr>
        <w:t>MěÚ</w:t>
      </w:r>
      <w:proofErr w:type="spellEnd"/>
      <w:r>
        <w:rPr>
          <w:rFonts w:ascii="Times New Roman" w:hAnsi="Times New Roman" w:cs="Times New Roman"/>
        </w:rPr>
        <w:t>“). Příjemce je povinen umožnit kontrolu užívání loga.</w:t>
      </w:r>
    </w:p>
    <w:p w14:paraId="4375099F" w14:textId="77777777" w:rsidR="00636179" w:rsidRDefault="00636179">
      <w:pPr>
        <w:tabs>
          <w:tab w:val="left" w:pos="426"/>
        </w:tabs>
        <w:jc w:val="both"/>
        <w:rPr>
          <w:rFonts w:ascii="Times New Roman" w:hAnsi="Times New Roman" w:cs="Times New Roman"/>
        </w:rPr>
      </w:pPr>
    </w:p>
    <w:p w14:paraId="7BFEDED1" w14:textId="77777777" w:rsidR="00636179" w:rsidRDefault="00000000">
      <w:pPr>
        <w:pStyle w:val="Odstavecseseznamem"/>
        <w:numPr>
          <w:ilvl w:val="0"/>
          <w:numId w:val="3"/>
        </w:numPr>
        <w:tabs>
          <w:tab w:val="left" w:pos="1278"/>
        </w:tabs>
        <w:spacing w:after="0"/>
        <w:ind w:left="426" w:hanging="426"/>
        <w:jc w:val="both"/>
        <w:rPr>
          <w:rFonts w:ascii="Times New Roman" w:hAnsi="Times New Roman" w:cs="Times New Roman"/>
        </w:rPr>
      </w:pPr>
      <w:r>
        <w:rPr>
          <w:rFonts w:ascii="Times New Roman" w:hAnsi="Times New Roman" w:cs="Times New Roman"/>
        </w:rPr>
        <w:t>Za nedodržení povinné publicity je dotace krácena o 5-10 %.</w:t>
      </w:r>
    </w:p>
    <w:p w14:paraId="7BB6F1C2" w14:textId="77777777" w:rsidR="00636179" w:rsidRDefault="00636179">
      <w:pPr>
        <w:pStyle w:val="Odstavecseseznamem"/>
        <w:jc w:val="both"/>
        <w:rPr>
          <w:rFonts w:ascii="Times New Roman" w:hAnsi="Times New Roman" w:cs="Times New Roman"/>
        </w:rPr>
      </w:pPr>
    </w:p>
    <w:p w14:paraId="346586CE" w14:textId="77777777" w:rsidR="00636179" w:rsidRDefault="00000000">
      <w:pPr>
        <w:pStyle w:val="Odstavecseseznamem"/>
        <w:numPr>
          <w:ilvl w:val="0"/>
          <w:numId w:val="3"/>
        </w:numPr>
        <w:tabs>
          <w:tab w:val="left" w:pos="1278"/>
        </w:tabs>
        <w:spacing w:after="0"/>
        <w:ind w:left="426" w:hanging="426"/>
        <w:rPr>
          <w:rFonts w:ascii="Times New Roman" w:hAnsi="Times New Roman" w:cs="Times New Roman"/>
        </w:rPr>
      </w:pPr>
      <w:r>
        <w:rPr>
          <w:rFonts w:ascii="Times New Roman" w:hAnsi="Times New Roman" w:cs="Times New Roman"/>
        </w:rPr>
        <w:t>Příjemce souhlasí se zveřejněním svého názvu, sídla, účelu dotace a její poskytnuté výše.</w:t>
      </w:r>
    </w:p>
    <w:p w14:paraId="35F152E5" w14:textId="77777777" w:rsidR="00636179" w:rsidRDefault="00636179">
      <w:pPr>
        <w:tabs>
          <w:tab w:val="left" w:pos="426"/>
        </w:tabs>
        <w:rPr>
          <w:rFonts w:ascii="Times New Roman" w:hAnsi="Times New Roman" w:cs="Times New Roman"/>
        </w:rPr>
      </w:pPr>
    </w:p>
    <w:p w14:paraId="0605EEAA" w14:textId="77777777" w:rsidR="00636179" w:rsidRDefault="00000000">
      <w:pPr>
        <w:tabs>
          <w:tab w:val="left" w:pos="426"/>
        </w:tabs>
        <w:jc w:val="center"/>
        <w:rPr>
          <w:rFonts w:ascii="Times New Roman" w:hAnsi="Times New Roman" w:cs="Times New Roman"/>
          <w:b/>
          <w:bCs/>
        </w:rPr>
      </w:pPr>
      <w:r>
        <w:rPr>
          <w:rFonts w:ascii="Times New Roman" w:hAnsi="Times New Roman" w:cs="Times New Roman"/>
          <w:b/>
          <w:bCs/>
        </w:rPr>
        <w:t>Článek IV.</w:t>
      </w:r>
    </w:p>
    <w:p w14:paraId="2CA1B093" w14:textId="77777777" w:rsidR="00636179" w:rsidRDefault="00636179">
      <w:pPr>
        <w:tabs>
          <w:tab w:val="left" w:pos="426"/>
        </w:tabs>
        <w:jc w:val="center"/>
        <w:rPr>
          <w:rFonts w:ascii="Times New Roman" w:hAnsi="Times New Roman" w:cs="Times New Roman"/>
          <w:b/>
          <w:bCs/>
        </w:rPr>
      </w:pPr>
    </w:p>
    <w:p w14:paraId="51FFAF73" w14:textId="68929F7F" w:rsidR="00636179" w:rsidRDefault="00000000">
      <w:pPr>
        <w:tabs>
          <w:tab w:val="left" w:pos="426"/>
        </w:tabs>
        <w:jc w:val="both"/>
        <w:rPr>
          <w:rFonts w:ascii="Times New Roman" w:hAnsi="Times New Roman" w:cs="Times New Roman"/>
        </w:rPr>
      </w:pPr>
      <w:r>
        <w:rPr>
          <w:rFonts w:ascii="Times New Roman" w:hAnsi="Times New Roman" w:cs="Times New Roman"/>
        </w:rPr>
        <w:t xml:space="preserve">Poskytnutí účelové finanční dotace a uzavření veřejnoprávní </w:t>
      </w:r>
      <w:r w:rsidR="00776D27">
        <w:rPr>
          <w:rFonts w:ascii="Times New Roman" w:hAnsi="Times New Roman" w:cs="Times New Roman"/>
        </w:rPr>
        <w:t>S</w:t>
      </w:r>
      <w:r>
        <w:rPr>
          <w:rFonts w:ascii="Times New Roman" w:hAnsi="Times New Roman" w:cs="Times New Roman"/>
        </w:rPr>
        <w:t xml:space="preserve">mlouvy o jejím poskytnutí bylo schváleno usnesením </w:t>
      </w:r>
      <w:r w:rsidR="007B6ADD">
        <w:rPr>
          <w:rFonts w:ascii="Times New Roman" w:hAnsi="Times New Roman" w:cs="Times New Roman"/>
        </w:rPr>
        <w:t>Zastupitelstva</w:t>
      </w:r>
      <w:r>
        <w:rPr>
          <w:rFonts w:ascii="Times New Roman" w:hAnsi="Times New Roman" w:cs="Times New Roman"/>
        </w:rPr>
        <w:t xml:space="preserve"> města Tachov č. </w:t>
      </w:r>
      <w:r>
        <w:rPr>
          <w:rFonts w:ascii="Times New Roman" w:hAnsi="Times New Roman" w:cs="Times New Roman"/>
          <w:shd w:val="clear" w:color="auto" w:fill="FFFF00"/>
        </w:rPr>
        <w:t>x/x</w:t>
      </w:r>
      <w:r>
        <w:rPr>
          <w:rFonts w:ascii="Times New Roman" w:hAnsi="Times New Roman" w:cs="Times New Roman"/>
        </w:rPr>
        <w:t xml:space="preserve"> ze dne </w:t>
      </w:r>
      <w:r w:rsidR="007B6ADD">
        <w:rPr>
          <w:rFonts w:ascii="Times New Roman" w:hAnsi="Times New Roman" w:cs="Times New Roman"/>
        </w:rPr>
        <w:t>26.08.2024</w:t>
      </w:r>
      <w:r>
        <w:rPr>
          <w:rFonts w:ascii="Times New Roman" w:hAnsi="Times New Roman" w:cs="Times New Roman"/>
        </w:rPr>
        <w:t xml:space="preserve"> dle </w:t>
      </w:r>
      <w:proofErr w:type="spellStart"/>
      <w:r>
        <w:rPr>
          <w:rFonts w:ascii="Times New Roman" w:hAnsi="Times New Roman" w:cs="Times New Roman"/>
        </w:rPr>
        <w:t>ust</w:t>
      </w:r>
      <w:proofErr w:type="spellEnd"/>
      <w:r>
        <w:rPr>
          <w:rFonts w:ascii="Times New Roman" w:hAnsi="Times New Roman" w:cs="Times New Roman"/>
        </w:rPr>
        <w:t xml:space="preserve">. § </w:t>
      </w:r>
      <w:r w:rsidR="007B6ADD">
        <w:rPr>
          <w:rFonts w:ascii="Times New Roman" w:hAnsi="Times New Roman" w:cs="Times New Roman"/>
        </w:rPr>
        <w:t xml:space="preserve">85 písm. c) </w:t>
      </w:r>
      <w:r>
        <w:rPr>
          <w:rFonts w:ascii="Times New Roman" w:hAnsi="Times New Roman" w:cs="Times New Roman"/>
        </w:rPr>
        <w:t>zák. č. 128/2000 Sb., o obcích (obecní zřízení), ve znění pozdějších předpisů.</w:t>
      </w:r>
    </w:p>
    <w:p w14:paraId="58FAA385" w14:textId="77777777" w:rsidR="00636179" w:rsidRDefault="00636179">
      <w:pPr>
        <w:tabs>
          <w:tab w:val="left" w:pos="426"/>
        </w:tabs>
        <w:jc w:val="both"/>
        <w:rPr>
          <w:rFonts w:ascii="Times New Roman" w:hAnsi="Times New Roman" w:cs="Times New Roman"/>
        </w:rPr>
      </w:pPr>
    </w:p>
    <w:p w14:paraId="22600FDE" w14:textId="77777777" w:rsidR="00636179" w:rsidRDefault="00000000">
      <w:pPr>
        <w:tabs>
          <w:tab w:val="left" w:pos="426"/>
        </w:tabs>
        <w:jc w:val="center"/>
        <w:rPr>
          <w:rFonts w:ascii="Times New Roman" w:hAnsi="Times New Roman" w:cs="Times New Roman"/>
          <w:b/>
          <w:bCs/>
        </w:rPr>
      </w:pPr>
      <w:r>
        <w:rPr>
          <w:rFonts w:ascii="Times New Roman" w:hAnsi="Times New Roman" w:cs="Times New Roman"/>
          <w:b/>
          <w:bCs/>
        </w:rPr>
        <w:t>Článek V.</w:t>
      </w:r>
    </w:p>
    <w:p w14:paraId="5A4D765D" w14:textId="77777777" w:rsidR="00636179" w:rsidRDefault="00636179">
      <w:pPr>
        <w:tabs>
          <w:tab w:val="left" w:pos="426"/>
        </w:tabs>
        <w:jc w:val="center"/>
        <w:rPr>
          <w:rFonts w:ascii="Times New Roman" w:hAnsi="Times New Roman" w:cs="Times New Roman"/>
          <w:b/>
          <w:bCs/>
        </w:rPr>
      </w:pPr>
    </w:p>
    <w:p w14:paraId="68C2A8E5"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Příjemce se zavazuje, že prostředky dotace budou využity výhradně k financování účelu uvedeného v článku I. této Smlouvy. V případě porušení účelovosti použití prostředků dotace je Příjemce povinen vrátit dotaci ve výši neoprávněně použité částky zpět Poskytovateli. Příjemce je povinen dotaci využít hospodárně, efektivně a účelně. V případě porušení povinnosti hospodárného, efektivního a účelného použití prostředků </w:t>
      </w:r>
      <w:proofErr w:type="spellStart"/>
      <w:r>
        <w:rPr>
          <w:rFonts w:ascii="Times New Roman" w:hAnsi="Times New Roman" w:cs="Times New Roman"/>
        </w:rPr>
        <w:t>MěÚ</w:t>
      </w:r>
      <w:proofErr w:type="spellEnd"/>
      <w:r>
        <w:rPr>
          <w:rFonts w:ascii="Times New Roman" w:hAnsi="Times New Roman" w:cs="Times New Roman"/>
        </w:rPr>
        <w:t xml:space="preserve"> uloží odvod Příjemci ve výši 30-60 % dotace, popř. dotace dosud nevyplacená bude v odpovídající výši krácena.</w:t>
      </w:r>
    </w:p>
    <w:p w14:paraId="0ED6549A" w14:textId="77777777" w:rsidR="00636179" w:rsidRDefault="00636179">
      <w:pPr>
        <w:tabs>
          <w:tab w:val="left" w:pos="426"/>
        </w:tabs>
        <w:jc w:val="both"/>
        <w:rPr>
          <w:rFonts w:ascii="Times New Roman" w:hAnsi="Times New Roman" w:cs="Times New Roman"/>
        </w:rPr>
      </w:pPr>
    </w:p>
    <w:p w14:paraId="4F7851A4"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Pokud je Příjemce povinen vést účetnictví podle zákona č. 563/1991 Sb., o účetnictví, ve znění pozdějších předpisů, je povinen vést je řádně. Pokud je Příjemce povinen vést daňovou evidenci podle zákona č. 586/1992 Sb., o daních z příjmů, ve znění pozdějších předpisů, je povinen ji vést řádně. Příjemce dotace je povinen zajistit ve svém účetnictví nebo daňové evidenci, v souladu s obecně platnými předpisy, zejména zákonem č. 563/1991 Sb., o účetnictví, v platném znění, řádné a oddělené sledování čerpání dotace. Příjemce je vždy povinen doložit evidenci čerpání dotace doklady splňujícími charakter účetních dokladů podle zákona o účetnictví, i když účetnictví nevede. V případě porušení ustanovení tohoto odstavce </w:t>
      </w:r>
      <w:proofErr w:type="spellStart"/>
      <w:r>
        <w:rPr>
          <w:rFonts w:ascii="Times New Roman" w:hAnsi="Times New Roman" w:cs="Times New Roman"/>
        </w:rPr>
        <w:t>MěÚ</w:t>
      </w:r>
      <w:proofErr w:type="spellEnd"/>
      <w:r>
        <w:rPr>
          <w:rFonts w:ascii="Times New Roman" w:hAnsi="Times New Roman" w:cs="Times New Roman"/>
        </w:rPr>
        <w:t xml:space="preserve"> uloží Příjemci odvod ve výši 5-10 % dotace.</w:t>
      </w:r>
    </w:p>
    <w:p w14:paraId="55E0D52C" w14:textId="77777777" w:rsidR="00636179" w:rsidRDefault="00636179">
      <w:pPr>
        <w:pStyle w:val="Odstavecseseznamem"/>
        <w:rPr>
          <w:rFonts w:ascii="Times New Roman" w:hAnsi="Times New Roman" w:cs="Times New Roman"/>
        </w:rPr>
      </w:pPr>
    </w:p>
    <w:p w14:paraId="2D5ED599"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Prostředky dotace nebudou Příjemcem poskytnuty jiným fyzickým nebo právnickým osobám, pokud nepůjde o úhradu bezprostředně spojenou s realizací účelu dotace. Pokud by byly prostředky poskytnuty v rozporu s účelem dotace uvedeným v čl. I. této Smlouvy, je Příjemce povinen dotaci vrátit ve výši neoprávněně použité částky.</w:t>
      </w:r>
    </w:p>
    <w:p w14:paraId="2A35158A" w14:textId="77777777" w:rsidR="00636179" w:rsidRDefault="00636179">
      <w:pPr>
        <w:pStyle w:val="Odstavecseseznamem"/>
        <w:rPr>
          <w:rFonts w:ascii="Times New Roman" w:hAnsi="Times New Roman" w:cs="Times New Roman"/>
        </w:rPr>
      </w:pPr>
    </w:p>
    <w:p w14:paraId="5188297F"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Majetek pořízený, zhodnocený nebo opravený za použití dotace nesmí být bez písemného souhlasu Poskytovatele po dobu 3 let od poskytnutí dotace převeden na třetí osobu, pronajat, propachtován ani jinak dán k dispozici třetí osobě. V případě porušení této povinnosti </w:t>
      </w:r>
      <w:proofErr w:type="spellStart"/>
      <w:r>
        <w:rPr>
          <w:rFonts w:ascii="Times New Roman" w:hAnsi="Times New Roman" w:cs="Times New Roman"/>
        </w:rPr>
        <w:t>MěÚ</w:t>
      </w:r>
      <w:proofErr w:type="spellEnd"/>
      <w:r>
        <w:rPr>
          <w:rFonts w:ascii="Times New Roman" w:hAnsi="Times New Roman" w:cs="Times New Roman"/>
        </w:rPr>
        <w:t xml:space="preserve"> uloží Příjemci odvod ve výši 30-50 % dotace.</w:t>
      </w:r>
    </w:p>
    <w:p w14:paraId="6FACC939" w14:textId="77777777" w:rsidR="00636179" w:rsidRDefault="00636179">
      <w:pPr>
        <w:pStyle w:val="Odstavecseseznamem"/>
        <w:rPr>
          <w:rFonts w:ascii="Times New Roman" w:hAnsi="Times New Roman" w:cs="Times New Roman"/>
        </w:rPr>
      </w:pPr>
    </w:p>
    <w:p w14:paraId="52B0729D"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Z poskytnuté dotace nelze hradit nákup nemovitostí, mzdy zaměstnanců, ostatní osobní náklady a odvody na sociální a zdravotní pojištění, pojištění funkcionářů a zaměstnanců Příjemce, nákup věcí osobní potřeby, které nesouvisí s vlastním posláním subjektu, úhrady členských příspěvků, </w:t>
      </w:r>
      <w:r>
        <w:rPr>
          <w:rFonts w:ascii="Times New Roman" w:hAnsi="Times New Roman" w:cs="Times New Roman"/>
        </w:rPr>
        <w:lastRenderedPageBreak/>
        <w:t xml:space="preserve">financování podnikatelských aktivit a výdělečnou činnost Příjemce, leasing, úhradu úroků a půjček. Z poskytnuté dotace nelze hradit výdaje na pojistné, pokuty, penále, náhradu škody, soudní poplatky, smluvní pokuty, úroky z prodlení nebo poplatky z prodlení, správní poplatky, daně a odvody, splátky úvěru, dary a krytí investičních nákladů. Ve vyúčtování nelze uznat výdaje doložené znaleckým posudkem či jiným odborným odhadem. V případě, že je Příjemce dotace plátcem daně z přidané hodnoty a u výdajů hrazených z prostředků dotace je oprávněn v souladu s platnými předpisy k odpočtu daně na vstupu, nesmí být z prostředků dotace hrazena daň z přidané hodnoty ve výši odpovídající nároku na odpočet daně. V případě pochybnosti, zda lze náklad z prostředků dotace hradit či nikoliv, rozhoduje o uznatelnosti nákladu výhradně </w:t>
      </w:r>
      <w:proofErr w:type="spellStart"/>
      <w:r>
        <w:rPr>
          <w:rFonts w:ascii="Times New Roman" w:hAnsi="Times New Roman" w:cs="Times New Roman"/>
        </w:rPr>
        <w:t>MěÚ</w:t>
      </w:r>
      <w:proofErr w:type="spellEnd"/>
      <w:r>
        <w:rPr>
          <w:rFonts w:ascii="Times New Roman" w:hAnsi="Times New Roman" w:cs="Times New Roman"/>
        </w:rPr>
        <w:t>/finanční odbor.</w:t>
      </w:r>
    </w:p>
    <w:p w14:paraId="5629C1E2" w14:textId="77777777" w:rsidR="00636179" w:rsidRDefault="00000000">
      <w:pPr>
        <w:tabs>
          <w:tab w:val="left" w:pos="1278"/>
        </w:tabs>
        <w:ind w:left="426" w:hanging="426"/>
        <w:rPr>
          <w:rFonts w:ascii="Times New Roman" w:hAnsi="Times New Roman" w:cs="Times New Roman"/>
        </w:rPr>
      </w:pPr>
      <w:r>
        <w:rPr>
          <w:rFonts w:ascii="Times New Roman" w:hAnsi="Times New Roman" w:cs="Times New Roman"/>
        </w:rPr>
        <w:t xml:space="preserve"> </w:t>
      </w:r>
    </w:p>
    <w:p w14:paraId="1AFFD492"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Pokud bude zjištěno, že údaje, na jejichž základě byla dotace poskytnuta, byly nepravdivé, je Příjemce povinen dotaci vrátit. Pokud by se jednalo o nedovolenou veřejnou podporu, je Příjemce povinen dotaci v plné výši vrátit včetně úroku podle pravidel o veřejné podpoře. Příjemce je povinen dotaci vrátit, pokud v souvislosti s Projektem spáchá trestný čin, přestupek nebo správní delikt, nebo jeho jednání odporuje veřejnému pořádku.</w:t>
      </w:r>
    </w:p>
    <w:p w14:paraId="638A93DE" w14:textId="77777777" w:rsidR="00636179" w:rsidRDefault="00636179">
      <w:pPr>
        <w:pStyle w:val="Odstavecseseznamem"/>
        <w:spacing w:after="0"/>
        <w:rPr>
          <w:rFonts w:ascii="Times New Roman" w:hAnsi="Times New Roman" w:cs="Times New Roman"/>
        </w:rPr>
      </w:pPr>
    </w:p>
    <w:p w14:paraId="565799A4"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V případě vzniku důvodů pro vrácení finančních prostředků nebo zaplacení odvodu poukáže Příjemce finanční prostředky bez výzvy neprodleně na účet Poskytovatele, popřípadě ve lhůtě určené ve výzvě učiněné jménem Poskytovatele </w:t>
      </w:r>
      <w:proofErr w:type="spellStart"/>
      <w:r>
        <w:rPr>
          <w:rFonts w:ascii="Times New Roman" w:hAnsi="Times New Roman" w:cs="Times New Roman"/>
        </w:rPr>
        <w:t>MěÚ</w:t>
      </w:r>
      <w:proofErr w:type="spellEnd"/>
      <w:r>
        <w:rPr>
          <w:rFonts w:ascii="Times New Roman" w:hAnsi="Times New Roman" w:cs="Times New Roman"/>
        </w:rPr>
        <w:t xml:space="preserve">. Číslo účtu pro vrácení finančních prostředků z poskytnuté dotace – č. účtu: 2688970257/0100 u peněžního ústavu Komerční banka, a.s. Variabilním symbolem bude IČ Příjemce v případě, že je má subjekt přiděleno, nebo datum narození ve formátu „DDMMRRRR“ u fyzické osoby nepodnikající. Příjemce dotace je povinen současně s realizovanou platbou zaslat písemné avízo na finanční odbor </w:t>
      </w:r>
      <w:proofErr w:type="spellStart"/>
      <w:r>
        <w:rPr>
          <w:rFonts w:ascii="Times New Roman" w:hAnsi="Times New Roman" w:cs="Times New Roman"/>
        </w:rPr>
        <w:t>MěÚ</w:t>
      </w:r>
      <w:proofErr w:type="spellEnd"/>
      <w:r>
        <w:rPr>
          <w:rFonts w:ascii="Times New Roman" w:hAnsi="Times New Roman" w:cs="Times New Roman"/>
        </w:rPr>
        <w:t>.</w:t>
      </w:r>
    </w:p>
    <w:p w14:paraId="79AE1B4A" w14:textId="77777777" w:rsidR="00636179" w:rsidRDefault="00636179">
      <w:pPr>
        <w:pStyle w:val="Odstavecseseznamem"/>
        <w:spacing w:after="0"/>
        <w:rPr>
          <w:rFonts w:ascii="Times New Roman" w:hAnsi="Times New Roman" w:cs="Times New Roman"/>
        </w:rPr>
      </w:pPr>
    </w:p>
    <w:p w14:paraId="2759E99C" w14:textId="301F790C"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Příjemce je povinen bez zbytečného odkladu v období od podání žádosti do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 xml:space="preserve">, nejpozději do 20 dnů ode dne, kdy se dozví o změnách, písemně oznámit Poskytovateli veškeré změny nebo skutečnosti, které by měly vliv na realizaci účelu dotace, včetně změn údajů o Příjemci (změny IČ, bankovního čísla účtu, změna osoby oprávněné jednat jménem Příjemce atd.). V případě pozdního podání oznámení změn nebo jejich neoznámení bude dotace krácena o 5-10 %. </w:t>
      </w:r>
    </w:p>
    <w:p w14:paraId="3F63C5BC" w14:textId="77777777" w:rsidR="00636179" w:rsidRDefault="00636179">
      <w:pPr>
        <w:tabs>
          <w:tab w:val="left" w:pos="426"/>
        </w:tabs>
        <w:rPr>
          <w:rFonts w:ascii="Times New Roman" w:hAnsi="Times New Roman" w:cs="Times New Roman"/>
        </w:rPr>
      </w:pPr>
    </w:p>
    <w:p w14:paraId="71A5A2BF"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Je-li Příjemce dotace právnická osoba, je Příjemce povinen v případě přeměny nebo zrušení právnické osoby s likvidací oznámit tyto skutečnosti Poskytovateli, podat finanční vypořádání dotace k rozhodnému dni nebo dni vstupu do likvidace. Poskytovatel je pro tento případ oprávněn požadovat vrácení části dotace, která nebyla vyčerpána před rozhodným dnem nebo dnem vstupu do likvidace nebo dotaci neposkytnout.</w:t>
      </w:r>
    </w:p>
    <w:p w14:paraId="7A617757" w14:textId="77777777" w:rsidR="00636179" w:rsidRDefault="00636179">
      <w:pPr>
        <w:pStyle w:val="Odstavecseseznamem"/>
        <w:spacing w:after="0"/>
        <w:rPr>
          <w:rFonts w:ascii="Times New Roman" w:hAnsi="Times New Roman" w:cs="Times New Roman"/>
        </w:rPr>
      </w:pPr>
    </w:p>
    <w:p w14:paraId="082C2B7C"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V případě vzniku důvodů pro výzvu k provedení opatření k nápravě nebo výzvy k vrácení dotace nebo její části podle § 22 odst. 6 zák. č. 250/2000 Sb., o rozpočtových pravidlech územních rozpočtů, ve znění pozdějších předpisů, učiní tuto výzvu jménem Poskytovatele </w:t>
      </w:r>
      <w:proofErr w:type="spellStart"/>
      <w:r>
        <w:rPr>
          <w:rFonts w:ascii="Times New Roman" w:hAnsi="Times New Roman" w:cs="Times New Roman"/>
        </w:rPr>
        <w:t>MěÚ</w:t>
      </w:r>
      <w:proofErr w:type="spellEnd"/>
      <w:r>
        <w:rPr>
          <w:rFonts w:ascii="Times New Roman" w:hAnsi="Times New Roman" w:cs="Times New Roman"/>
        </w:rPr>
        <w:t xml:space="preserve">. V případě porušení rozpočtové kázně a zároveň nevrácení poskytnuté dotace Příjemcem Poskytovateli, popř. nevyhovění výzvě k provedení opatření k nápravě, postupuje </w:t>
      </w:r>
      <w:proofErr w:type="spellStart"/>
      <w:r>
        <w:rPr>
          <w:rFonts w:ascii="Times New Roman" w:hAnsi="Times New Roman" w:cs="Times New Roman"/>
        </w:rPr>
        <w:t>MěÚ</w:t>
      </w:r>
      <w:proofErr w:type="spellEnd"/>
      <w:r>
        <w:rPr>
          <w:rFonts w:ascii="Times New Roman" w:hAnsi="Times New Roman" w:cs="Times New Roman"/>
        </w:rPr>
        <w:t xml:space="preserve"> způsobem uvedeným v § 22 zák. č. 250/2000 Sb., o rozpočtových pravidlech územních rozpočtů, ve znění pozdějších předpisů, ve spojení se zák. č. 280/2009 Sb., daňový řád, ve znění pozdějších předpisů, tedy vydáním platebního výměru za účelem uložení odvodu a penále do rozpočtu Poskytovatele.</w:t>
      </w:r>
    </w:p>
    <w:p w14:paraId="218CF6A9" w14:textId="77777777" w:rsidR="00636179" w:rsidRDefault="00636179">
      <w:pPr>
        <w:pStyle w:val="Odstavecseseznamem"/>
        <w:spacing w:after="0"/>
        <w:rPr>
          <w:rFonts w:ascii="Times New Roman" w:hAnsi="Times New Roman" w:cs="Times New Roman"/>
        </w:rPr>
      </w:pPr>
    </w:p>
    <w:p w14:paraId="37DF773B"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Poskytovatel je oprávněn materiály získané v souvislosti s Projektem (např. fotodokumentaci akce) včetně materiálů poskytnutých Příjemcem použít pro své potřeby (zejména k propagaci). Příjemce i Poskytovatel se zavazují, že použití těchto materiálů bude v souladu s právními předpisy, zejména pak s ohledem na ochranu osobních údajů.</w:t>
      </w:r>
    </w:p>
    <w:p w14:paraId="12EDD100" w14:textId="77777777" w:rsidR="00636179" w:rsidRDefault="00636179">
      <w:pPr>
        <w:pStyle w:val="Odstavecseseznamem"/>
        <w:rPr>
          <w:rFonts w:ascii="Times New Roman" w:hAnsi="Times New Roman" w:cs="Times New Roman"/>
        </w:rPr>
      </w:pPr>
    </w:p>
    <w:p w14:paraId="4877BA2D" w14:textId="6CD41184" w:rsidR="00636179" w:rsidRDefault="00000000">
      <w:pPr>
        <w:pStyle w:val="Odstavecseseznamem"/>
        <w:numPr>
          <w:ilvl w:val="0"/>
          <w:numId w:val="6"/>
        </w:numPr>
        <w:tabs>
          <w:tab w:val="left" w:pos="1278"/>
        </w:tabs>
        <w:ind w:left="426" w:hanging="426"/>
        <w:jc w:val="both"/>
        <w:rPr>
          <w:rFonts w:ascii="Times New Roman" w:hAnsi="Times New Roman" w:cs="Times New Roman"/>
        </w:rPr>
      </w:pPr>
      <w:r>
        <w:rPr>
          <w:rFonts w:ascii="Times New Roman" w:hAnsi="Times New Roman" w:cs="Times New Roman"/>
        </w:rPr>
        <w:lastRenderedPageBreak/>
        <w:t xml:space="preserve">Poskytovatel se zavazuje zveřejnit tuto </w:t>
      </w:r>
      <w:r w:rsidR="00776D27">
        <w:rPr>
          <w:rFonts w:ascii="Times New Roman" w:hAnsi="Times New Roman" w:cs="Times New Roman"/>
        </w:rPr>
        <w:t>S</w:t>
      </w:r>
      <w:r>
        <w:rPr>
          <w:rFonts w:ascii="Times New Roman" w:hAnsi="Times New Roman" w:cs="Times New Roman"/>
        </w:rPr>
        <w:t xml:space="preserve">mlouvu v registru smluv ve smyslu zákona č. 340/2015 Sb., o zvláštních podmínkách účinnosti některých smluv, uveřejňování těchto smluv a o registru smluv (zákon o registru smluv), v případě, že je pro účinnost </w:t>
      </w:r>
      <w:r w:rsidR="00776D27">
        <w:rPr>
          <w:rFonts w:ascii="Times New Roman" w:hAnsi="Times New Roman" w:cs="Times New Roman"/>
        </w:rPr>
        <w:t>S</w:t>
      </w:r>
      <w:r>
        <w:rPr>
          <w:rFonts w:ascii="Times New Roman" w:hAnsi="Times New Roman" w:cs="Times New Roman"/>
        </w:rPr>
        <w:t>mlouvy zveřejnění povinné, a to nejpozději do 30 dnů od jejího uzavření.</w:t>
      </w:r>
    </w:p>
    <w:p w14:paraId="342E2DA2" w14:textId="77777777" w:rsidR="00636179" w:rsidRDefault="00636179">
      <w:pPr>
        <w:pStyle w:val="Odstavecseseznamem"/>
        <w:rPr>
          <w:rFonts w:ascii="Times New Roman" w:hAnsi="Times New Roman" w:cs="Times New Roman"/>
        </w:rPr>
      </w:pPr>
    </w:p>
    <w:p w14:paraId="6A997F28" w14:textId="77777777" w:rsidR="00636179" w:rsidRDefault="00000000">
      <w:pPr>
        <w:pStyle w:val="Odstavecseseznamem"/>
        <w:numPr>
          <w:ilvl w:val="0"/>
          <w:numId w:val="6"/>
        </w:numPr>
        <w:tabs>
          <w:tab w:val="left" w:pos="1278"/>
        </w:tabs>
        <w:ind w:left="426" w:hanging="426"/>
        <w:jc w:val="both"/>
        <w:rPr>
          <w:rFonts w:ascii="Times New Roman" w:hAnsi="Times New Roman" w:cs="Times New Roman"/>
        </w:rPr>
      </w:pPr>
      <w:r>
        <w:rPr>
          <w:rFonts w:ascii="Times New Roman" w:hAnsi="Times New Roman" w:cs="Times New Roman"/>
        </w:rPr>
        <w:t>Příjemce se zavazuje zajistit, že při přípravě, realizaci a propagaci Projektu specifikovaného v čl. I. této Smlouvy nebudou užita protiprávní jednání spočívající v nerespektování autorských či jiných práv třetích osob či jiné nevhodné způsoby obtěžující fyzické a právnické osoby.</w:t>
      </w:r>
    </w:p>
    <w:p w14:paraId="1DB02389" w14:textId="77777777" w:rsidR="00636179" w:rsidRDefault="00636179">
      <w:pPr>
        <w:pStyle w:val="Odstavecseseznamem"/>
        <w:spacing w:after="0"/>
        <w:rPr>
          <w:rFonts w:ascii="Times New Roman" w:hAnsi="Times New Roman" w:cs="Times New Roman"/>
        </w:rPr>
      </w:pPr>
    </w:p>
    <w:p w14:paraId="094FF7DE" w14:textId="77777777" w:rsidR="00636179" w:rsidRDefault="00000000">
      <w:pPr>
        <w:pStyle w:val="Odstavecseseznamem"/>
        <w:numPr>
          <w:ilvl w:val="0"/>
          <w:numId w:val="6"/>
        </w:numPr>
        <w:tabs>
          <w:tab w:val="left" w:pos="1278"/>
        </w:tabs>
        <w:spacing w:after="0"/>
        <w:ind w:left="426" w:hanging="426"/>
        <w:jc w:val="both"/>
        <w:rPr>
          <w:rFonts w:ascii="Times New Roman" w:hAnsi="Times New Roman" w:cs="Times New Roman"/>
        </w:rPr>
      </w:pPr>
      <w:r>
        <w:rPr>
          <w:rFonts w:ascii="Times New Roman" w:hAnsi="Times New Roman" w:cs="Times New Roman"/>
        </w:rPr>
        <w:t>Poskytnutím dotace se nezakládá nárok na poskytnutí další dotace v případě, že dotovaná akce bude pokračovat v dalších letech.</w:t>
      </w:r>
    </w:p>
    <w:p w14:paraId="5BE4C2DC" w14:textId="77777777" w:rsidR="00636179" w:rsidRDefault="00636179">
      <w:pPr>
        <w:pStyle w:val="Odstavecseseznamem"/>
        <w:spacing w:after="0"/>
        <w:rPr>
          <w:rFonts w:ascii="Times New Roman" w:hAnsi="Times New Roman" w:cs="Times New Roman"/>
        </w:rPr>
      </w:pPr>
    </w:p>
    <w:p w14:paraId="72144923" w14:textId="77777777" w:rsidR="00636179" w:rsidRDefault="00000000">
      <w:pPr>
        <w:tabs>
          <w:tab w:val="left" w:pos="426"/>
        </w:tabs>
        <w:jc w:val="center"/>
        <w:rPr>
          <w:rFonts w:ascii="Times New Roman" w:hAnsi="Times New Roman" w:cs="Times New Roman"/>
          <w:b/>
          <w:bCs/>
        </w:rPr>
      </w:pPr>
      <w:r>
        <w:rPr>
          <w:rFonts w:ascii="Times New Roman" w:hAnsi="Times New Roman" w:cs="Times New Roman"/>
          <w:b/>
          <w:bCs/>
        </w:rPr>
        <w:t>Článek VI.</w:t>
      </w:r>
    </w:p>
    <w:p w14:paraId="0F46AE0B" w14:textId="77777777" w:rsidR="00636179" w:rsidRDefault="00636179">
      <w:pPr>
        <w:tabs>
          <w:tab w:val="left" w:pos="426"/>
        </w:tabs>
        <w:jc w:val="center"/>
        <w:rPr>
          <w:rFonts w:ascii="Times New Roman" w:hAnsi="Times New Roman" w:cs="Times New Roman"/>
          <w:b/>
          <w:bCs/>
        </w:rPr>
      </w:pPr>
    </w:p>
    <w:p w14:paraId="258F85E2" w14:textId="22D1B077" w:rsidR="00636179" w:rsidRDefault="00000000">
      <w:pPr>
        <w:pStyle w:val="Odstavecseseznamem"/>
        <w:numPr>
          <w:ilvl w:val="0"/>
          <w:numId w:val="7"/>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Příjemce je povinen předložit </w:t>
      </w:r>
      <w:r w:rsidR="007424DC">
        <w:rPr>
          <w:rFonts w:ascii="Times New Roman" w:hAnsi="Times New Roman" w:cs="Times New Roman"/>
        </w:rPr>
        <w:t>P</w:t>
      </w:r>
      <w:r>
        <w:rPr>
          <w:rFonts w:ascii="Times New Roman" w:hAnsi="Times New Roman" w:cs="Times New Roman"/>
        </w:rPr>
        <w:t xml:space="preserve">oskytovateli vyúčtování použití dotace předložením vyplněného a podepsaného formuláře Finančního vypořádání dotace poskytnuté z rozpočtu Města Tachova v roce </w:t>
      </w:r>
      <w:r w:rsidR="007B6ADD">
        <w:rPr>
          <w:rFonts w:ascii="Times New Roman" w:hAnsi="Times New Roman" w:cs="Times New Roman"/>
        </w:rPr>
        <w:t>2024</w:t>
      </w:r>
      <w:r>
        <w:rPr>
          <w:rFonts w:ascii="Times New Roman" w:hAnsi="Times New Roman" w:cs="Times New Roman"/>
        </w:rPr>
        <w:t xml:space="preserve"> a požadovaných příloh nejpozději do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 xml:space="preserve"> </w:t>
      </w:r>
      <w:proofErr w:type="spellStart"/>
      <w:r>
        <w:rPr>
          <w:rFonts w:ascii="Times New Roman" w:hAnsi="Times New Roman" w:cs="Times New Roman"/>
        </w:rPr>
        <w:t>M</w:t>
      </w:r>
      <w:r w:rsidR="006B3FCE">
        <w:rPr>
          <w:rFonts w:ascii="Times New Roman" w:hAnsi="Times New Roman" w:cs="Times New Roman"/>
        </w:rPr>
        <w:t>ěÚ</w:t>
      </w:r>
      <w:proofErr w:type="spellEnd"/>
      <w:r>
        <w:rPr>
          <w:rFonts w:ascii="Times New Roman" w:hAnsi="Times New Roman" w:cs="Times New Roman"/>
        </w:rPr>
        <w:t xml:space="preserve"> / finanční odbor nebo do podatelny </w:t>
      </w:r>
      <w:proofErr w:type="spellStart"/>
      <w:r>
        <w:rPr>
          <w:rFonts w:ascii="Times New Roman" w:hAnsi="Times New Roman" w:cs="Times New Roman"/>
        </w:rPr>
        <w:t>Mě</w:t>
      </w:r>
      <w:r w:rsidR="006B3FCE">
        <w:rPr>
          <w:rFonts w:ascii="Times New Roman" w:hAnsi="Times New Roman" w:cs="Times New Roman"/>
        </w:rPr>
        <w:t>Ú</w:t>
      </w:r>
      <w:proofErr w:type="spellEnd"/>
      <w:r>
        <w:rPr>
          <w:rFonts w:ascii="Times New Roman" w:hAnsi="Times New Roman" w:cs="Times New Roman"/>
        </w:rPr>
        <w:t>. K formuláři Příjemce doloží čitelné a řádně očíslované účetní doklady související s náklady hrazenými z poskytnuté dotace (faktury, smlouvy nebo dohody včetně potvrzení o jejich proplacení, výpis z bankovního účtu, příjmový, výdajový pokladní doklad, paragony příp. další).</w:t>
      </w:r>
    </w:p>
    <w:p w14:paraId="0E0FF730" w14:textId="77777777" w:rsidR="00636179" w:rsidRDefault="00636179">
      <w:pPr>
        <w:tabs>
          <w:tab w:val="left" w:pos="426"/>
        </w:tabs>
        <w:jc w:val="both"/>
        <w:rPr>
          <w:rFonts w:ascii="Times New Roman" w:hAnsi="Times New Roman" w:cs="Times New Roman"/>
        </w:rPr>
      </w:pPr>
    </w:p>
    <w:p w14:paraId="158A95E0" w14:textId="77777777" w:rsidR="00636179" w:rsidRDefault="00000000">
      <w:pPr>
        <w:tabs>
          <w:tab w:val="left" w:pos="1278"/>
        </w:tabs>
        <w:ind w:left="426"/>
        <w:jc w:val="both"/>
        <w:rPr>
          <w:rFonts w:ascii="Times New Roman" w:hAnsi="Times New Roman" w:cs="Times New Roman"/>
        </w:rPr>
      </w:pPr>
      <w:r>
        <w:rPr>
          <w:rFonts w:ascii="Times New Roman" w:hAnsi="Times New Roman" w:cs="Times New Roman"/>
        </w:rPr>
        <w:t>Předložené účetní doklady musí mít jasně specifikovanou souvislost s realizovaným Projektem. Na originálním účetním dokladu bude uvedeno „HRAZENO Z DOTACE MĚSTA TACHOVA VE VÝŠI…… Kč“.</w:t>
      </w:r>
    </w:p>
    <w:p w14:paraId="00A47703" w14:textId="77777777" w:rsidR="00636179" w:rsidRDefault="00636179">
      <w:pPr>
        <w:tabs>
          <w:tab w:val="left" w:pos="1278"/>
        </w:tabs>
        <w:ind w:left="426"/>
        <w:jc w:val="both"/>
        <w:rPr>
          <w:rFonts w:ascii="Times New Roman" w:hAnsi="Times New Roman" w:cs="Times New Roman"/>
        </w:rPr>
      </w:pPr>
    </w:p>
    <w:p w14:paraId="40767040" w14:textId="77777777" w:rsidR="00636179" w:rsidRDefault="00000000">
      <w:pPr>
        <w:tabs>
          <w:tab w:val="left" w:pos="1278"/>
        </w:tabs>
        <w:ind w:left="426"/>
        <w:jc w:val="both"/>
        <w:rPr>
          <w:rFonts w:ascii="Times New Roman" w:hAnsi="Times New Roman" w:cs="Times New Roman"/>
        </w:rPr>
      </w:pPr>
      <w:r>
        <w:rPr>
          <w:rFonts w:ascii="Times New Roman" w:hAnsi="Times New Roman" w:cs="Times New Roman"/>
        </w:rPr>
        <w:t>Příjemce dotace je povinen v rámci vyúčtování dotace prokázat její účelné využití (např. zprávou o konané akci, fotodokumentací, novinovým článkem apod.).</w:t>
      </w:r>
    </w:p>
    <w:p w14:paraId="1ABD3001" w14:textId="77777777" w:rsidR="00636179" w:rsidRDefault="00636179">
      <w:pPr>
        <w:tabs>
          <w:tab w:val="left" w:pos="1278"/>
        </w:tabs>
        <w:ind w:left="426"/>
        <w:jc w:val="both"/>
        <w:rPr>
          <w:rFonts w:ascii="Times New Roman" w:hAnsi="Times New Roman" w:cs="Times New Roman"/>
        </w:rPr>
      </w:pPr>
    </w:p>
    <w:p w14:paraId="66E752C1" w14:textId="36E248EE" w:rsidR="00636179" w:rsidRDefault="00000000">
      <w:pPr>
        <w:tabs>
          <w:tab w:val="left" w:pos="1278"/>
        </w:tabs>
        <w:ind w:left="426"/>
        <w:jc w:val="both"/>
        <w:rPr>
          <w:rFonts w:ascii="Times New Roman" w:hAnsi="Times New Roman" w:cs="Times New Roman"/>
        </w:rPr>
      </w:pPr>
      <w:r>
        <w:rPr>
          <w:rFonts w:ascii="Times New Roman" w:hAnsi="Times New Roman" w:cs="Times New Roman"/>
        </w:rPr>
        <w:t>V případě, že výše uvedené dokumenty nebudou Poskytovateli řádně předloženy ve stanovené lhůtě do 1</w:t>
      </w:r>
      <w:r w:rsidR="007B6ADD">
        <w:rPr>
          <w:rFonts w:ascii="Times New Roman" w:hAnsi="Times New Roman" w:cs="Times New Roman"/>
        </w:rPr>
        <w:t>3</w:t>
      </w:r>
      <w:r>
        <w:rPr>
          <w:rFonts w:ascii="Times New Roman" w:hAnsi="Times New Roman" w:cs="Times New Roman"/>
        </w:rPr>
        <w:t>.12.20</w:t>
      </w:r>
      <w:r w:rsidR="007B6ADD">
        <w:rPr>
          <w:rFonts w:ascii="Times New Roman" w:hAnsi="Times New Roman" w:cs="Times New Roman"/>
        </w:rPr>
        <w:t>24</w:t>
      </w:r>
      <w:r>
        <w:rPr>
          <w:rFonts w:ascii="Times New Roman" w:hAnsi="Times New Roman" w:cs="Times New Roman"/>
        </w:rPr>
        <w:t>, nebude dotace poskytnuta.</w:t>
      </w:r>
    </w:p>
    <w:p w14:paraId="535E9F63" w14:textId="77777777" w:rsidR="00636179" w:rsidRDefault="00636179">
      <w:pPr>
        <w:tabs>
          <w:tab w:val="left" w:pos="1278"/>
        </w:tabs>
        <w:ind w:left="426"/>
        <w:jc w:val="both"/>
        <w:rPr>
          <w:rFonts w:ascii="Times New Roman" w:hAnsi="Times New Roman" w:cs="Times New Roman"/>
        </w:rPr>
      </w:pPr>
    </w:p>
    <w:p w14:paraId="70157AAB" w14:textId="77777777" w:rsidR="00636179" w:rsidRDefault="00000000">
      <w:pPr>
        <w:tabs>
          <w:tab w:val="left" w:pos="1278"/>
        </w:tabs>
        <w:ind w:left="426"/>
        <w:jc w:val="both"/>
        <w:rPr>
          <w:rFonts w:ascii="Times New Roman" w:hAnsi="Times New Roman" w:cs="Times New Roman"/>
        </w:rPr>
      </w:pPr>
      <w:r>
        <w:rPr>
          <w:rFonts w:ascii="Times New Roman" w:hAnsi="Times New Roman" w:cs="Times New Roman"/>
        </w:rPr>
        <w:t>V případě, že bude ve stanoveném termínu předloženo finanční vypořádání na částku nižší, než je částka schválené dotace, obdrží Příjemce dotaci ve výši, kterou doložil.</w:t>
      </w:r>
    </w:p>
    <w:p w14:paraId="030FECEF" w14:textId="77777777" w:rsidR="00636179" w:rsidRDefault="00636179">
      <w:pPr>
        <w:tabs>
          <w:tab w:val="left" w:pos="1278"/>
        </w:tabs>
        <w:ind w:left="426"/>
        <w:jc w:val="both"/>
        <w:rPr>
          <w:rFonts w:ascii="Times New Roman" w:hAnsi="Times New Roman" w:cs="Times New Roman"/>
        </w:rPr>
      </w:pPr>
    </w:p>
    <w:p w14:paraId="15013537" w14:textId="77777777" w:rsidR="00636179" w:rsidRDefault="00000000">
      <w:pPr>
        <w:tabs>
          <w:tab w:val="left" w:pos="1278"/>
        </w:tabs>
        <w:ind w:left="426"/>
        <w:jc w:val="both"/>
        <w:rPr>
          <w:rFonts w:ascii="Times New Roman" w:hAnsi="Times New Roman" w:cs="Times New Roman"/>
        </w:rPr>
      </w:pPr>
      <w:r>
        <w:rPr>
          <w:rFonts w:ascii="Times New Roman" w:hAnsi="Times New Roman" w:cs="Times New Roman"/>
        </w:rPr>
        <w:t>V případě, kdy Poskytovatel shledá, že podané finanční vypořádání vykazuje nedostatky, vyzve písemně Příjemce k odstranění nedostatků a stanoví lhůtu k jejich odstranění. Jestliže nebudou nedostatky finančního vypořádání ve stanovené lhůtě odstraněny, nebudou finanční prostředky celé dotace či její části nedoložené vyúčtováním vyplaceny.</w:t>
      </w:r>
    </w:p>
    <w:p w14:paraId="6A632EC9" w14:textId="77777777" w:rsidR="00636179" w:rsidRDefault="00636179">
      <w:pPr>
        <w:tabs>
          <w:tab w:val="left" w:pos="1278"/>
        </w:tabs>
        <w:ind w:left="426"/>
        <w:jc w:val="both"/>
        <w:rPr>
          <w:rFonts w:ascii="Times New Roman" w:hAnsi="Times New Roman" w:cs="Times New Roman"/>
        </w:rPr>
      </w:pPr>
    </w:p>
    <w:p w14:paraId="7A06C183" w14:textId="4E023659" w:rsidR="00636179" w:rsidRDefault="00000000">
      <w:pPr>
        <w:pStyle w:val="Odstavecseseznamem"/>
        <w:numPr>
          <w:ilvl w:val="0"/>
          <w:numId w:val="7"/>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Poskytovatel je oprávněn provádět u Příjemce kontrolu účetnictví, příp. dalších skutečností, v rozsahu potřebném k posouzení, zda byla tato </w:t>
      </w:r>
      <w:r w:rsidR="00776D27">
        <w:rPr>
          <w:rFonts w:ascii="Times New Roman" w:hAnsi="Times New Roman" w:cs="Times New Roman"/>
        </w:rPr>
        <w:t>S</w:t>
      </w:r>
      <w:r>
        <w:rPr>
          <w:rFonts w:ascii="Times New Roman" w:hAnsi="Times New Roman" w:cs="Times New Roman"/>
        </w:rPr>
        <w:t>mlouva dodržena (a to i v průběhu realizace Projektu). Příjemce dotace je povinen poskytnout součinnost při výkonu kontrolní činnosti příslušnými orgány města, které jsou oprávněny v souladu se zvláštním právním předpisem (zákon č. 320/2001 Sb., o finanční kontrole ve veřejné správě, ve znění pozdějších předpisů) kontrolovat dodržení podmínek, za kterých byla dotace poskytnuta.</w:t>
      </w:r>
    </w:p>
    <w:p w14:paraId="703ABF64" w14:textId="77777777" w:rsidR="00636179" w:rsidRDefault="00636179">
      <w:pPr>
        <w:tabs>
          <w:tab w:val="left" w:pos="426"/>
        </w:tabs>
        <w:jc w:val="both"/>
        <w:rPr>
          <w:rFonts w:ascii="Times New Roman" w:hAnsi="Times New Roman" w:cs="Times New Roman"/>
        </w:rPr>
      </w:pPr>
    </w:p>
    <w:p w14:paraId="18CD4276" w14:textId="77777777" w:rsidR="00636179" w:rsidRDefault="00000000">
      <w:pPr>
        <w:tabs>
          <w:tab w:val="left" w:pos="426"/>
        </w:tabs>
        <w:jc w:val="center"/>
        <w:rPr>
          <w:rFonts w:ascii="Times New Roman" w:hAnsi="Times New Roman" w:cs="Times New Roman"/>
          <w:b/>
          <w:bCs/>
        </w:rPr>
      </w:pPr>
      <w:r>
        <w:rPr>
          <w:rFonts w:ascii="Times New Roman" w:hAnsi="Times New Roman" w:cs="Times New Roman"/>
          <w:b/>
          <w:bCs/>
        </w:rPr>
        <w:t>Článek VII.</w:t>
      </w:r>
    </w:p>
    <w:p w14:paraId="157B6856" w14:textId="77777777" w:rsidR="00636179" w:rsidRDefault="00636179">
      <w:pPr>
        <w:tabs>
          <w:tab w:val="left" w:pos="426"/>
        </w:tabs>
        <w:jc w:val="center"/>
        <w:rPr>
          <w:rFonts w:ascii="Times New Roman" w:hAnsi="Times New Roman" w:cs="Times New Roman"/>
          <w:b/>
          <w:bCs/>
        </w:rPr>
      </w:pPr>
    </w:p>
    <w:p w14:paraId="3A5E58F3" w14:textId="70522F4F" w:rsidR="00636179" w:rsidRDefault="00000000">
      <w:pPr>
        <w:pStyle w:val="Odstavecseseznamem"/>
        <w:numPr>
          <w:ilvl w:val="0"/>
          <w:numId w:val="8"/>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Smlouva nabývá platnosti dnem podpisu obou smluvních stran. Účinnosti může nabýt nejdříve dnem uzavření </w:t>
      </w:r>
      <w:r w:rsidR="007424DC">
        <w:rPr>
          <w:rFonts w:ascii="Times New Roman" w:hAnsi="Times New Roman" w:cs="Times New Roman"/>
        </w:rPr>
        <w:t>S</w:t>
      </w:r>
      <w:r>
        <w:rPr>
          <w:rFonts w:ascii="Times New Roman" w:hAnsi="Times New Roman" w:cs="Times New Roman"/>
        </w:rPr>
        <w:t>mlouvy, pokud nepodléhá ze zákona povinnému uveřejnění v registru smluv, nebo nejdříve uveřejněním v registru smluv, pokud je uveřejnění ze zákona povinné.</w:t>
      </w:r>
    </w:p>
    <w:p w14:paraId="50873479" w14:textId="77777777" w:rsidR="00636179" w:rsidRDefault="00636179">
      <w:pPr>
        <w:tabs>
          <w:tab w:val="left" w:pos="426"/>
        </w:tabs>
        <w:jc w:val="both"/>
        <w:rPr>
          <w:rFonts w:ascii="Times New Roman" w:hAnsi="Times New Roman" w:cs="Times New Roman"/>
        </w:rPr>
      </w:pPr>
    </w:p>
    <w:p w14:paraId="6DF4E9C2" w14:textId="77777777" w:rsidR="00636179" w:rsidRDefault="00000000">
      <w:pPr>
        <w:pStyle w:val="Odstavecseseznamem"/>
        <w:numPr>
          <w:ilvl w:val="0"/>
          <w:numId w:val="8"/>
        </w:numPr>
        <w:tabs>
          <w:tab w:val="left" w:pos="1278"/>
        </w:tabs>
        <w:spacing w:after="0"/>
        <w:ind w:left="426" w:hanging="426"/>
        <w:jc w:val="both"/>
        <w:rPr>
          <w:rFonts w:ascii="Times New Roman" w:hAnsi="Times New Roman" w:cs="Times New Roman"/>
        </w:rPr>
      </w:pPr>
      <w:r>
        <w:rPr>
          <w:rFonts w:ascii="Times New Roman" w:hAnsi="Times New Roman" w:cs="Times New Roman"/>
        </w:rPr>
        <w:t>Smlouva se vyhotovuje ve dvou stejnopisech, z nichž Příjemce dotace obdrží jedno vyhotovení a Poskytovatel jedno vyhotovení.</w:t>
      </w:r>
    </w:p>
    <w:p w14:paraId="67B8B594" w14:textId="77777777" w:rsidR="00636179" w:rsidRDefault="00636179">
      <w:pPr>
        <w:pStyle w:val="Odstavecseseznamem"/>
        <w:spacing w:after="0"/>
        <w:rPr>
          <w:rFonts w:ascii="Times New Roman" w:hAnsi="Times New Roman" w:cs="Times New Roman"/>
        </w:rPr>
      </w:pPr>
    </w:p>
    <w:p w14:paraId="341AE394" w14:textId="77777777" w:rsidR="00636179" w:rsidRDefault="00000000">
      <w:pPr>
        <w:pStyle w:val="Odstavecseseznamem"/>
        <w:numPr>
          <w:ilvl w:val="0"/>
          <w:numId w:val="8"/>
        </w:numPr>
        <w:tabs>
          <w:tab w:val="left" w:pos="1278"/>
        </w:tabs>
        <w:spacing w:after="0"/>
        <w:ind w:left="426" w:hanging="426"/>
        <w:jc w:val="both"/>
        <w:rPr>
          <w:rFonts w:ascii="Times New Roman" w:hAnsi="Times New Roman" w:cs="Times New Roman"/>
        </w:rPr>
      </w:pPr>
      <w:r>
        <w:rPr>
          <w:rFonts w:ascii="Times New Roman" w:hAnsi="Times New Roman" w:cs="Times New Roman"/>
        </w:rPr>
        <w:t>Změny a doplňky k této Smlouvě lze provést pouze po vzájemném odsouhlasení smluvních stran, a to písemně, s číselně označenými dodatky, podepsanými oběma smluvními stranami.</w:t>
      </w:r>
    </w:p>
    <w:p w14:paraId="0699856D" w14:textId="77777777" w:rsidR="00636179" w:rsidRDefault="00636179">
      <w:pPr>
        <w:pStyle w:val="Odstavecseseznamem"/>
        <w:spacing w:after="0"/>
        <w:rPr>
          <w:rFonts w:ascii="Times New Roman" w:hAnsi="Times New Roman" w:cs="Times New Roman"/>
        </w:rPr>
      </w:pPr>
    </w:p>
    <w:p w14:paraId="4AA06636" w14:textId="1C0188F6" w:rsidR="00636179" w:rsidRDefault="00000000">
      <w:pPr>
        <w:pStyle w:val="Odstavecseseznamem"/>
        <w:numPr>
          <w:ilvl w:val="0"/>
          <w:numId w:val="8"/>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Smluvní strany prohlašují, že tato Smlouva byla sepsána podle jejich pravé a svobodné vůle prosté omylu a donucení, nikoli v tísni, že </w:t>
      </w:r>
      <w:r w:rsidR="007424DC">
        <w:rPr>
          <w:rFonts w:ascii="Times New Roman" w:hAnsi="Times New Roman" w:cs="Times New Roman"/>
        </w:rPr>
        <w:t>S</w:t>
      </w:r>
      <w:r>
        <w:rPr>
          <w:rFonts w:ascii="Times New Roman" w:hAnsi="Times New Roman" w:cs="Times New Roman"/>
        </w:rPr>
        <w:t>mlouva není zdánlivým právním jednáním, že obě smluvní strany souhlasí s celým jejím obsahem.</w:t>
      </w:r>
    </w:p>
    <w:p w14:paraId="067E07A1" w14:textId="77777777" w:rsidR="00636179" w:rsidRDefault="00636179">
      <w:pPr>
        <w:pStyle w:val="Odstavecseseznamem"/>
        <w:spacing w:after="0"/>
        <w:rPr>
          <w:rFonts w:ascii="Times New Roman" w:hAnsi="Times New Roman" w:cs="Times New Roman"/>
        </w:rPr>
      </w:pPr>
    </w:p>
    <w:p w14:paraId="2BF74F15" w14:textId="77777777" w:rsidR="00636179" w:rsidRDefault="00000000">
      <w:pPr>
        <w:pStyle w:val="Odstavecseseznamem"/>
        <w:numPr>
          <w:ilvl w:val="0"/>
          <w:numId w:val="8"/>
        </w:numPr>
        <w:tabs>
          <w:tab w:val="left" w:pos="1278"/>
        </w:tabs>
        <w:spacing w:after="0"/>
        <w:ind w:left="426" w:hanging="426"/>
        <w:jc w:val="both"/>
        <w:rPr>
          <w:rFonts w:ascii="Times New Roman" w:hAnsi="Times New Roman" w:cs="Times New Roman"/>
        </w:rPr>
      </w:pPr>
      <w:r>
        <w:rPr>
          <w:rFonts w:ascii="Times New Roman" w:hAnsi="Times New Roman" w:cs="Times New Roman"/>
        </w:rPr>
        <w:t xml:space="preserve">Pokud některé ustanovení této Smlouvy je nebo se stane neplatným nebo nevynutitelným, ostatní ustanovení této Smlouvy zůstávají platná a vynutitelná. Toto neplatné nebo nevynutitelné ustanovení bude bez zbytečných odkladů nahrazeno novým platným a vynutitelným ustanovením, které svým obsahem a smyslem nejlépe odpovídá obsahu a smyslu původního ustanovení. </w:t>
      </w:r>
    </w:p>
    <w:p w14:paraId="49A196D2" w14:textId="77777777" w:rsidR="00636179" w:rsidRDefault="00636179">
      <w:pPr>
        <w:jc w:val="both"/>
        <w:rPr>
          <w:rFonts w:ascii="Times New Roman" w:hAnsi="Times New Roman" w:cs="Times New Roman"/>
        </w:rPr>
      </w:pPr>
    </w:p>
    <w:p w14:paraId="5723C6FC" w14:textId="77777777" w:rsidR="00636179" w:rsidRDefault="00636179">
      <w:pPr>
        <w:jc w:val="both"/>
        <w:rPr>
          <w:rFonts w:ascii="Times New Roman" w:hAnsi="Times New Roman" w:cs="Times New Roman"/>
        </w:rPr>
      </w:pPr>
    </w:p>
    <w:p w14:paraId="1295A371" w14:textId="77777777" w:rsidR="00636179" w:rsidRDefault="00000000">
      <w:pPr>
        <w:tabs>
          <w:tab w:val="left" w:pos="5245"/>
        </w:tabs>
        <w:jc w:val="both"/>
        <w:rPr>
          <w:rFonts w:ascii="Times New Roman" w:hAnsi="Times New Roman" w:cs="Times New Roman"/>
        </w:rPr>
      </w:pPr>
      <w:r>
        <w:rPr>
          <w:rFonts w:ascii="Times New Roman" w:hAnsi="Times New Roman" w:cs="Times New Roman"/>
        </w:rPr>
        <w:t>V                        dne</w:t>
      </w:r>
      <w:r>
        <w:rPr>
          <w:rFonts w:ascii="Times New Roman" w:hAnsi="Times New Roman" w:cs="Times New Roman"/>
        </w:rPr>
        <w:tab/>
        <w:t>V Tachově dne</w:t>
      </w:r>
    </w:p>
    <w:p w14:paraId="11ABDD20" w14:textId="77777777" w:rsidR="00636179" w:rsidRDefault="00636179">
      <w:pPr>
        <w:jc w:val="both"/>
        <w:rPr>
          <w:rFonts w:ascii="Times New Roman" w:hAnsi="Times New Roman" w:cs="Times New Roman"/>
        </w:rPr>
      </w:pPr>
    </w:p>
    <w:p w14:paraId="094EDB83" w14:textId="77777777" w:rsidR="00636179" w:rsidRDefault="00000000">
      <w:pPr>
        <w:tabs>
          <w:tab w:val="left" w:pos="5245"/>
        </w:tabs>
        <w:jc w:val="both"/>
        <w:rPr>
          <w:rFonts w:ascii="Times New Roman" w:hAnsi="Times New Roman" w:cs="Times New Roman"/>
        </w:rPr>
      </w:pPr>
      <w:r>
        <w:rPr>
          <w:rFonts w:ascii="Times New Roman" w:hAnsi="Times New Roman" w:cs="Times New Roman"/>
        </w:rPr>
        <w:t>Příjemce:</w:t>
      </w:r>
      <w:r>
        <w:rPr>
          <w:rFonts w:ascii="Times New Roman" w:hAnsi="Times New Roman" w:cs="Times New Roman"/>
        </w:rPr>
        <w:tab/>
        <w:t>Poskytovatel:</w:t>
      </w:r>
    </w:p>
    <w:p w14:paraId="3147DD9F" w14:textId="77777777" w:rsidR="00636179" w:rsidRDefault="00636179">
      <w:pPr>
        <w:tabs>
          <w:tab w:val="left" w:pos="5670"/>
        </w:tabs>
        <w:jc w:val="both"/>
        <w:rPr>
          <w:rFonts w:ascii="Times New Roman" w:hAnsi="Times New Roman" w:cs="Times New Roman"/>
        </w:rPr>
      </w:pPr>
    </w:p>
    <w:p w14:paraId="2D0DFCF9" w14:textId="77777777" w:rsidR="00636179" w:rsidRDefault="00636179">
      <w:pPr>
        <w:tabs>
          <w:tab w:val="left" w:pos="5670"/>
        </w:tabs>
        <w:jc w:val="both"/>
        <w:rPr>
          <w:rFonts w:ascii="Times New Roman" w:hAnsi="Times New Roman" w:cs="Times New Roman"/>
        </w:rPr>
      </w:pPr>
    </w:p>
    <w:p w14:paraId="0CAE98A1" w14:textId="77777777" w:rsidR="00636179" w:rsidRDefault="00636179">
      <w:pPr>
        <w:tabs>
          <w:tab w:val="left" w:pos="5670"/>
        </w:tabs>
        <w:jc w:val="both"/>
        <w:rPr>
          <w:rFonts w:ascii="Times New Roman" w:hAnsi="Times New Roman" w:cs="Times New Roman"/>
        </w:rPr>
      </w:pPr>
    </w:p>
    <w:p w14:paraId="2122067F" w14:textId="77777777" w:rsidR="00636179" w:rsidRDefault="00636179">
      <w:pPr>
        <w:tabs>
          <w:tab w:val="left" w:pos="5670"/>
        </w:tabs>
        <w:jc w:val="both"/>
        <w:rPr>
          <w:rFonts w:ascii="Times New Roman" w:hAnsi="Times New Roman" w:cs="Times New Roman"/>
        </w:rPr>
      </w:pPr>
    </w:p>
    <w:p w14:paraId="315FFDD8" w14:textId="77777777" w:rsidR="00636179" w:rsidRDefault="00636179">
      <w:pPr>
        <w:tabs>
          <w:tab w:val="left" w:pos="5670"/>
        </w:tabs>
        <w:jc w:val="both"/>
        <w:rPr>
          <w:rFonts w:ascii="Times New Roman" w:hAnsi="Times New Roman" w:cs="Times New Roman"/>
        </w:rPr>
      </w:pPr>
    </w:p>
    <w:p w14:paraId="4A9A1ACA" w14:textId="77777777" w:rsidR="00636179" w:rsidRDefault="00636179">
      <w:pPr>
        <w:tabs>
          <w:tab w:val="left" w:pos="5670"/>
        </w:tabs>
        <w:jc w:val="both"/>
        <w:rPr>
          <w:rFonts w:ascii="Times New Roman" w:hAnsi="Times New Roman" w:cs="Times New Roman"/>
        </w:rPr>
      </w:pPr>
    </w:p>
    <w:p w14:paraId="150290A0" w14:textId="77777777" w:rsidR="00636179" w:rsidRDefault="00636179">
      <w:pPr>
        <w:tabs>
          <w:tab w:val="left" w:pos="5670"/>
        </w:tabs>
        <w:jc w:val="both"/>
        <w:rPr>
          <w:rFonts w:ascii="Times New Roman" w:hAnsi="Times New Roman" w:cs="Times New Roman"/>
        </w:rPr>
      </w:pPr>
    </w:p>
    <w:p w14:paraId="1E730A6A" w14:textId="77777777" w:rsidR="00636179" w:rsidRDefault="00000000">
      <w:pPr>
        <w:tabs>
          <w:tab w:val="left" w:pos="5245"/>
        </w:tabs>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w:t>
      </w:r>
    </w:p>
    <w:p w14:paraId="3E635881" w14:textId="0AAEEAA2" w:rsidR="00636179" w:rsidRDefault="00000000">
      <w:pPr>
        <w:tabs>
          <w:tab w:val="left" w:pos="5245"/>
        </w:tabs>
        <w:jc w:val="both"/>
        <w:rPr>
          <w:rFonts w:ascii="Times New Roman" w:hAnsi="Times New Roman" w:cs="Times New Roman"/>
          <w:b/>
          <w:bCs/>
        </w:rPr>
      </w:pPr>
      <w:r>
        <w:rPr>
          <w:rFonts w:ascii="Times New Roman" w:hAnsi="Times New Roman" w:cs="Times New Roman"/>
          <w:b/>
          <w:bCs/>
        </w:rPr>
        <w:t xml:space="preserve">             </w:t>
      </w:r>
      <w:r w:rsidR="007E4AAB">
        <w:rPr>
          <w:rFonts w:ascii="Times New Roman" w:hAnsi="Times New Roman" w:cs="Times New Roman"/>
          <w:b/>
          <w:bCs/>
        </w:rPr>
        <w:t>Adriana Vrbatová</w:t>
      </w:r>
      <w:r>
        <w:rPr>
          <w:rFonts w:ascii="Times New Roman" w:hAnsi="Times New Roman" w:cs="Times New Roman"/>
          <w:b/>
          <w:bCs/>
        </w:rPr>
        <w:t xml:space="preserve">                                                </w:t>
      </w:r>
      <w:r w:rsidR="006B3FCE">
        <w:rPr>
          <w:rFonts w:ascii="Times New Roman" w:hAnsi="Times New Roman" w:cs="Times New Roman"/>
          <w:b/>
          <w:bCs/>
        </w:rPr>
        <w:t xml:space="preserve">       </w:t>
      </w:r>
      <w:r>
        <w:rPr>
          <w:rFonts w:ascii="Times New Roman" w:hAnsi="Times New Roman" w:cs="Times New Roman"/>
          <w:b/>
          <w:bCs/>
        </w:rPr>
        <w:t xml:space="preserve"> </w:t>
      </w:r>
      <w:r w:rsidR="007E4AAB">
        <w:rPr>
          <w:rFonts w:ascii="Times New Roman" w:hAnsi="Times New Roman" w:cs="Times New Roman"/>
          <w:b/>
          <w:bCs/>
        </w:rPr>
        <w:t xml:space="preserve">  </w:t>
      </w:r>
      <w:r>
        <w:rPr>
          <w:rFonts w:ascii="Times New Roman" w:hAnsi="Times New Roman" w:cs="Times New Roman"/>
          <w:b/>
          <w:bCs/>
        </w:rPr>
        <w:t xml:space="preserve"> Mgr. Petr Vrána</w:t>
      </w:r>
    </w:p>
    <w:p w14:paraId="04471818" w14:textId="2F462CAA" w:rsidR="00636179" w:rsidRDefault="00000000">
      <w:pPr>
        <w:tabs>
          <w:tab w:val="left" w:pos="5245"/>
        </w:tabs>
        <w:jc w:val="both"/>
        <w:rPr>
          <w:rFonts w:ascii="Times New Roman" w:hAnsi="Times New Roman" w:cs="Times New Roman"/>
        </w:rPr>
      </w:pPr>
      <w:r>
        <w:rPr>
          <w:rFonts w:ascii="Times New Roman" w:hAnsi="Times New Roman" w:cs="Times New Roman"/>
        </w:rPr>
        <w:t xml:space="preserve">     </w:t>
      </w:r>
      <w:r w:rsidR="007E4AAB">
        <w:rPr>
          <w:rFonts w:ascii="Times New Roman" w:hAnsi="Times New Roman" w:cs="Times New Roman"/>
        </w:rPr>
        <w:t>předsedkyně oblastní odbočky</w:t>
      </w:r>
      <w:r>
        <w:rPr>
          <w:rFonts w:ascii="Times New Roman" w:hAnsi="Times New Roman" w:cs="Times New Roman"/>
        </w:rPr>
        <w:tab/>
        <w:t xml:space="preserve">             </w:t>
      </w:r>
      <w:r w:rsidR="006B3FCE">
        <w:rPr>
          <w:rFonts w:ascii="Times New Roman" w:hAnsi="Times New Roman" w:cs="Times New Roman"/>
        </w:rPr>
        <w:t xml:space="preserve"> </w:t>
      </w:r>
      <w:r w:rsidR="007E4AAB">
        <w:rPr>
          <w:rFonts w:ascii="Times New Roman" w:hAnsi="Times New Roman" w:cs="Times New Roman"/>
        </w:rPr>
        <w:t xml:space="preserve"> </w:t>
      </w:r>
      <w:r w:rsidR="006B3FCE">
        <w:rPr>
          <w:rFonts w:ascii="Times New Roman" w:hAnsi="Times New Roman" w:cs="Times New Roman"/>
        </w:rPr>
        <w:t xml:space="preserve"> </w:t>
      </w:r>
      <w:r>
        <w:rPr>
          <w:rFonts w:ascii="Times New Roman" w:hAnsi="Times New Roman" w:cs="Times New Roman"/>
        </w:rPr>
        <w:t xml:space="preserve"> </w:t>
      </w:r>
      <w:r w:rsidR="007E4AAB">
        <w:rPr>
          <w:rFonts w:ascii="Times New Roman" w:hAnsi="Times New Roman" w:cs="Times New Roman"/>
        </w:rPr>
        <w:t xml:space="preserve"> </w:t>
      </w:r>
      <w:r>
        <w:rPr>
          <w:rFonts w:ascii="Times New Roman" w:hAnsi="Times New Roman" w:cs="Times New Roman"/>
        </w:rPr>
        <w:t>starosta města</w:t>
      </w:r>
    </w:p>
    <w:p w14:paraId="36741248" w14:textId="77777777" w:rsidR="00636179" w:rsidRDefault="00636179">
      <w:pPr>
        <w:jc w:val="both"/>
        <w:rPr>
          <w:rFonts w:ascii="Times New Roman" w:hAnsi="Times New Roman" w:cs="Times New Roman"/>
        </w:rPr>
      </w:pPr>
    </w:p>
    <w:sectPr w:rsidR="00636179">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8370C"/>
    <w:multiLevelType w:val="multilevel"/>
    <w:tmpl w:val="2668BE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A8107C"/>
    <w:multiLevelType w:val="multilevel"/>
    <w:tmpl w:val="4BD0DE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5D35124"/>
    <w:multiLevelType w:val="multilevel"/>
    <w:tmpl w:val="13E809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12B6E41"/>
    <w:multiLevelType w:val="multilevel"/>
    <w:tmpl w:val="FFA4F3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75F7B58"/>
    <w:multiLevelType w:val="multilevel"/>
    <w:tmpl w:val="61A67A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90A5764"/>
    <w:multiLevelType w:val="multilevel"/>
    <w:tmpl w:val="B2B20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B70258D"/>
    <w:multiLevelType w:val="multilevel"/>
    <w:tmpl w:val="772EA05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673B7DFB"/>
    <w:multiLevelType w:val="multilevel"/>
    <w:tmpl w:val="98A2279A"/>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78437B1D"/>
    <w:multiLevelType w:val="multilevel"/>
    <w:tmpl w:val="9AEAAAD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790352">
    <w:abstractNumId w:val="3"/>
  </w:num>
  <w:num w:numId="2" w16cid:durableId="1586183287">
    <w:abstractNumId w:val="0"/>
  </w:num>
  <w:num w:numId="3" w16cid:durableId="613175907">
    <w:abstractNumId w:val="8"/>
  </w:num>
  <w:num w:numId="4" w16cid:durableId="1246958506">
    <w:abstractNumId w:val="6"/>
  </w:num>
  <w:num w:numId="5" w16cid:durableId="1872186584">
    <w:abstractNumId w:val="7"/>
  </w:num>
  <w:num w:numId="6" w16cid:durableId="1039013184">
    <w:abstractNumId w:val="1"/>
  </w:num>
  <w:num w:numId="7" w16cid:durableId="519008987">
    <w:abstractNumId w:val="4"/>
  </w:num>
  <w:num w:numId="8" w16cid:durableId="1906455596">
    <w:abstractNumId w:val="2"/>
  </w:num>
  <w:num w:numId="9" w16cid:durableId="648629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179"/>
    <w:rsid w:val="00085FC0"/>
    <w:rsid w:val="002149BB"/>
    <w:rsid w:val="002B5182"/>
    <w:rsid w:val="002C2F5D"/>
    <w:rsid w:val="002F1086"/>
    <w:rsid w:val="00322CD4"/>
    <w:rsid w:val="003B4A80"/>
    <w:rsid w:val="00485356"/>
    <w:rsid w:val="005C516F"/>
    <w:rsid w:val="00636179"/>
    <w:rsid w:val="006B3FCE"/>
    <w:rsid w:val="00725728"/>
    <w:rsid w:val="007424DC"/>
    <w:rsid w:val="00776D27"/>
    <w:rsid w:val="007B6ADD"/>
    <w:rsid w:val="007E4AAB"/>
    <w:rsid w:val="00814D4D"/>
    <w:rsid w:val="00A42EFE"/>
    <w:rsid w:val="00A53FF8"/>
    <w:rsid w:val="00BA26F7"/>
    <w:rsid w:val="00C01789"/>
    <w:rsid w:val="00C904B8"/>
    <w:rsid w:val="00CE5C8E"/>
    <w:rsid w:val="00DB51F7"/>
    <w:rsid w:val="00EF312F"/>
    <w:rsid w:val="00F4076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946B2"/>
  <w15:docId w15:val="{D6AE1F3E-BF47-46CC-9E21-FEA4BF05E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pPr>
      <w:keepNext/>
      <w:spacing w:before="240" w:after="120"/>
    </w:pPr>
    <w:rPr>
      <w:rFonts w:ascii="Liberation Sans" w:eastAsia="Microsoft YaHei"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styleId="Odstavecseseznamem">
    <w:name w:val="List Paragraph"/>
    <w:basedOn w:val="Normln"/>
    <w:qFormat/>
    <w:pPr>
      <w:spacing w:after="160"/>
      <w:ind w:left="720"/>
      <w:contextualSpacing/>
    </w:pPr>
  </w:style>
  <w:style w:type="paragraph" w:customStyle="1" w:styleId="NormlnIMP">
    <w:name w:val="Normální_IMP"/>
    <w:basedOn w:val="Normln"/>
    <w:qFormat/>
    <w:pPr>
      <w:overflowPunct w:val="0"/>
      <w:spacing w:line="228" w:lineRule="auto"/>
      <w:textAlignment w:val="baseline"/>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2398</Words>
  <Characters>14154</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Balážová Nikola</dc:creator>
  <cp:lastModifiedBy>Balážová Nikola</cp:lastModifiedBy>
  <cp:revision>2</cp:revision>
  <dcterms:created xsi:type="dcterms:W3CDTF">2024-08-09T07:39:00Z</dcterms:created>
  <dcterms:modified xsi:type="dcterms:W3CDTF">2024-08-09T07:39:00Z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2024-02-23T08:03:31Z</dcterms:created>
  <dc:creator/>
  <dc:description/>
  <dc:language>cs-CZ</dc:language>
  <cp:lastModifiedBy/>
  <dcterms:modified xsi:type="dcterms:W3CDTF">2024-02-26T15:02:33Z</dcterms:modified>
  <cp:revision>3</cp:revision>
  <dc:subject/>
  <dc:title/>
</cp:coreProperties>
</file>