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9B5A" w14:textId="77777777" w:rsidR="00202144" w:rsidRDefault="00202144" w:rsidP="00202144">
      <w:r>
        <w:t xml:space="preserve">Dobrý den pane starosto, včera jsem obdržel emailem zprávu, že zastupitelstvo rozhodlo část pozemku pod stožárem neprodat. Vaše rozhodnutí samozřejmě respektujeme a Vážíme si doposud bezproblémové spolupráce. Jelikož jste se rozhodli neprodávat část pozemku, na něž se nachází základnová stanice společnosti </w:t>
      </w:r>
      <w:proofErr w:type="spellStart"/>
      <w:r>
        <w:t>Vantage</w:t>
      </w:r>
      <w:proofErr w:type="spellEnd"/>
      <w:r>
        <w:t xml:space="preserve"> </w:t>
      </w:r>
      <w:proofErr w:type="spellStart"/>
      <w:r>
        <w:t>Towers</w:t>
      </w:r>
      <w:proofErr w:type="spellEnd"/>
      <w:r>
        <w:t xml:space="preserve"> s.r.o.</w:t>
      </w:r>
      <w:proofErr w:type="gramStart"/>
      <w:r>
        <w:t xml:space="preserve">, </w:t>
      </w:r>
      <w:r>
        <w:rPr>
          <w:lang w:val="en-US"/>
        </w:rPr>
        <w:t> </w:t>
      </w:r>
      <w:proofErr w:type="spellStart"/>
      <w:r>
        <w:rPr>
          <w:lang w:val="en-US"/>
        </w:rPr>
        <w:t>chci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ještě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nabídnout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zvážení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druhou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alternativu</w:t>
      </w:r>
      <w:proofErr w:type="spellEnd"/>
      <w:r>
        <w:rPr>
          <w:lang w:val="en-US"/>
        </w:rPr>
        <w:t xml:space="preserve">, </w:t>
      </w:r>
      <w:r>
        <w:t xml:space="preserve"> kterou je umožnění zřízení služebnosti na areál stanice veřejné sítě elektronických komunikací o výměře cca 82 m2, jež se nachází na části Vašeho pozemku, </w:t>
      </w:r>
      <w:r>
        <w:rPr>
          <w:b/>
          <w:bCs/>
        </w:rPr>
        <w:t>na dobu  25 let, za stejnou cenu 315.000,- Kč s následným  ukončení placení nájemného</w:t>
      </w:r>
      <w:r>
        <w:t xml:space="preserve">. Součástí služebnosti by byl přístup ke stanici a umístění </w:t>
      </w:r>
      <w:proofErr w:type="spellStart"/>
      <w:r>
        <w:t>elektropřípojky</w:t>
      </w:r>
      <w:proofErr w:type="spellEnd"/>
      <w:r>
        <w:t xml:space="preserve">. V uvedeném případě zůstáváte i nadále vlastníkem pozemku. Společnost </w:t>
      </w:r>
      <w:proofErr w:type="spellStart"/>
      <w:r>
        <w:t>Vantage</w:t>
      </w:r>
      <w:proofErr w:type="spellEnd"/>
      <w:r>
        <w:t xml:space="preserve"> </w:t>
      </w:r>
      <w:proofErr w:type="spellStart"/>
      <w:r>
        <w:t>Towers</w:t>
      </w:r>
      <w:proofErr w:type="spellEnd"/>
      <w:r>
        <w:t xml:space="preserve"> jako nový majitel telekomunikační infrastruktury společnosti Vodafone má v plánu počet věží optimalizovat. V tomto kontextu společnost preferuje vlastnictví </w:t>
      </w:r>
      <w:proofErr w:type="gramStart"/>
      <w:r>
        <w:t>pozemků</w:t>
      </w:r>
      <w:proofErr w:type="gramEnd"/>
      <w:r>
        <w:t xml:space="preserve"> na kterých věže stojí, případně zřízení služebností. Zmíněný faktor je z hlediska budoucnosti stanice pro </w:t>
      </w:r>
      <w:proofErr w:type="gramStart"/>
      <w:r>
        <w:t>naší</w:t>
      </w:r>
      <w:proofErr w:type="gramEnd"/>
      <w:r>
        <w:t xml:space="preserve"> společnost velice důležitý. To přímo souvisí s úspěšností projektu </w:t>
      </w:r>
      <w:proofErr w:type="gramStart"/>
      <w:r>
        <w:t>odkupů</w:t>
      </w:r>
      <w:proofErr w:type="gramEnd"/>
      <w:r>
        <w:t xml:space="preserve"> resp. zřízení služebností, který momentálně probíhá a z něhož vyplyne finální koncepce sítě a případná postradatelnost nerozvojových bodů v síti. Do kategorie nerozvojových bodů, budou zařazeny všechny stanice, kde se nepodařilo jednu z uvedených variant projednat. Budeme však velice rádi, pokud se nám podaří dohodnout se.</w:t>
      </w:r>
    </w:p>
    <w:p w14:paraId="1319A5B0" w14:textId="77777777" w:rsidR="00202144" w:rsidRDefault="00202144" w:rsidP="00202144">
      <w:r>
        <w:t>Chci Vás tímto zdvořile požádat o zvážení nabídky a oznámení Vašeho finálního stanoviska (telefonicky, emailem), nebo oznámení podmínek, za kterých by byl pro Vás výše uvedený návrh akceptovatelný.</w:t>
      </w:r>
    </w:p>
    <w:p w14:paraId="59F60A2E" w14:textId="77777777" w:rsidR="00202144" w:rsidRDefault="00202144" w:rsidP="00202144"/>
    <w:p w14:paraId="4EF17E39" w14:textId="77777777" w:rsidR="00202144" w:rsidRDefault="00202144" w:rsidP="00202144">
      <w:r>
        <w:t>V případě dotazů jsem kdykoli k dispozici.</w:t>
      </w:r>
    </w:p>
    <w:p w14:paraId="21841FAF" w14:textId="77777777" w:rsidR="00202144" w:rsidRDefault="00202144" w:rsidP="00202144"/>
    <w:p w14:paraId="64C04148" w14:textId="77777777" w:rsidR="00202144" w:rsidRDefault="00202144" w:rsidP="00202144">
      <w:r>
        <w:t>Děkuji a přeji příjemný den</w:t>
      </w:r>
    </w:p>
    <w:p w14:paraId="3E9556A6" w14:textId="77777777" w:rsidR="00202144" w:rsidRDefault="00202144" w:rsidP="00202144">
      <w:pPr>
        <w:rPr>
          <w:lang w:val="en-US"/>
        </w:rPr>
      </w:pPr>
    </w:p>
    <w:p w14:paraId="022A02F0" w14:textId="77777777" w:rsidR="00202144" w:rsidRDefault="00202144" w:rsidP="00202144">
      <w:pPr>
        <w:rPr>
          <w:color w:val="1F497D"/>
        </w:rPr>
      </w:pPr>
    </w:p>
    <w:tbl>
      <w:tblPr>
        <w:tblW w:w="8714" w:type="dxa"/>
        <w:tblCellSpacing w:w="0" w:type="dxa"/>
        <w:tblBorders>
          <w:bottom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261"/>
        <w:gridCol w:w="3468"/>
      </w:tblGrid>
      <w:tr w:rsidR="00202144" w14:paraId="6FCEEA9E" w14:textId="77777777" w:rsidTr="00202144">
        <w:trPr>
          <w:trHeight w:val="3555"/>
          <w:tblCellSpacing w:w="0" w:type="dxa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BF627E" w14:textId="77777777" w:rsidR="00202144" w:rsidRDefault="00202144">
            <w:pPr>
              <w:rPr>
                <w:rFonts w:ascii="Protokoll" w:hAnsi="Protokoll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color w:val="2E74B5"/>
              </w:rPr>
              <w:drawing>
                <wp:inline distT="0" distB="0" distL="0" distR="0" wp14:anchorId="093A5145" wp14:editId="1D4C6783">
                  <wp:extent cx="447675" cy="276225"/>
                  <wp:effectExtent l="0" t="0" r="9525" b="9525"/>
                  <wp:docPr id="2" name="Obrázek 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</w:tcPr>
          <w:p w14:paraId="6932432E" w14:textId="77777777" w:rsidR="00202144" w:rsidRDefault="00202144">
            <w:pPr>
              <w:spacing w:line="240" w:lineRule="atLeast"/>
              <w:rPr>
                <w:rFonts w:ascii="Protokoll" w:hAnsi="Protokol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Protokoll" w:hAnsi="Protokoll"/>
                <w:b/>
                <w:bCs/>
                <w:color w:val="000000"/>
                <w:sz w:val="20"/>
                <w:szCs w:val="20"/>
                <w:lang w:eastAsia="en-GB"/>
              </w:rPr>
              <w:t>Pavel Vavřík</w:t>
            </w:r>
            <w:r>
              <w:rPr>
                <w:color w:val="2E74B5"/>
              </w:rPr>
              <w:br/>
            </w:r>
            <w:proofErr w:type="spellStart"/>
            <w:r>
              <w:rPr>
                <w:rFonts w:ascii="Protokoll" w:hAnsi="Protokoll"/>
                <w:color w:val="000000"/>
                <w:sz w:val="20"/>
                <w:szCs w:val="20"/>
                <w:lang w:eastAsia="en-GB"/>
              </w:rPr>
              <w:t>Site</w:t>
            </w:r>
            <w:proofErr w:type="spellEnd"/>
            <w:r>
              <w:rPr>
                <w:rFonts w:ascii="Protokoll" w:hAnsi="Protokol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Protokoll" w:hAnsi="Protokoll"/>
                <w:color w:val="000000"/>
                <w:sz w:val="20"/>
                <w:szCs w:val="20"/>
                <w:lang w:eastAsia="en-GB"/>
              </w:rPr>
              <w:t>Lease</w:t>
            </w:r>
            <w:proofErr w:type="spellEnd"/>
            <w:r>
              <w:rPr>
                <w:rFonts w:ascii="Protokoll" w:hAnsi="Protokol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Protokoll" w:hAnsi="Protokoll"/>
                <w:color w:val="000000"/>
                <w:sz w:val="20"/>
                <w:szCs w:val="20"/>
                <w:lang w:eastAsia="en-GB"/>
              </w:rPr>
              <w:t>Specialist</w:t>
            </w:r>
            <w:proofErr w:type="spellEnd"/>
          </w:p>
          <w:p w14:paraId="48483086" w14:textId="77777777" w:rsidR="00202144" w:rsidRDefault="00202144">
            <w:pPr>
              <w:spacing w:line="270" w:lineRule="atLeast"/>
              <w:rPr>
                <w:rFonts w:ascii="Protokoll" w:hAnsi="Protokoll"/>
                <w:color w:val="000000"/>
                <w:sz w:val="20"/>
                <w:szCs w:val="20"/>
                <w:lang w:eastAsia="en-GB"/>
              </w:rPr>
            </w:pPr>
          </w:p>
          <w:p w14:paraId="147A6557" w14:textId="77777777" w:rsidR="00202144" w:rsidRDefault="00202144">
            <w:pPr>
              <w:spacing w:line="270" w:lineRule="atLeast"/>
              <w:rPr>
                <w:rFonts w:ascii="Protokoll" w:hAnsi="Protokol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Protokoll" w:hAnsi="Protokoll"/>
                <w:color w:val="000000"/>
                <w:sz w:val="20"/>
                <w:szCs w:val="20"/>
                <w:lang w:eastAsia="en-GB"/>
              </w:rPr>
              <w:t>+420 737 200 864</w:t>
            </w:r>
          </w:p>
          <w:p w14:paraId="368E7A38" w14:textId="77777777" w:rsidR="00202144" w:rsidRDefault="00000000">
            <w:pPr>
              <w:spacing w:line="270" w:lineRule="atLeast"/>
              <w:rPr>
                <w:rFonts w:ascii="Protokoll" w:hAnsi="Protokoll"/>
                <w:color w:val="000000"/>
                <w:sz w:val="20"/>
                <w:szCs w:val="20"/>
                <w:lang w:eastAsia="en-GB"/>
              </w:rPr>
            </w:pPr>
            <w:hyperlink r:id="rId7" w:history="1">
              <w:r w:rsidR="00202144">
                <w:rPr>
                  <w:rStyle w:val="Hypertextovodkaz"/>
                  <w:rFonts w:ascii="Protokoll" w:hAnsi="Protokoll"/>
                  <w:color w:val="0000FF"/>
                  <w:sz w:val="20"/>
                  <w:szCs w:val="20"/>
                  <w:lang w:eastAsia="en-GB"/>
                </w:rPr>
                <w:t>pavel.vavrik@vantagetowers.com</w:t>
              </w:r>
            </w:hyperlink>
          </w:p>
          <w:p w14:paraId="12F3985A" w14:textId="77777777" w:rsidR="00202144" w:rsidRDefault="00202144">
            <w:pPr>
              <w:rPr>
                <w:rFonts w:ascii="Protokoll" w:hAnsi="Protokoll"/>
                <w:color w:val="000000"/>
                <w:sz w:val="18"/>
                <w:szCs w:val="18"/>
                <w:lang w:eastAsia="en-GB"/>
              </w:rPr>
            </w:pPr>
            <w:r>
              <w:rPr>
                <w:color w:val="2E74B5"/>
              </w:rPr>
              <w:br/>
            </w:r>
            <w:proofErr w:type="spellStart"/>
            <w:r>
              <w:rPr>
                <w:rFonts w:ascii="Protokoll" w:hAnsi="Protokoll"/>
                <w:color w:val="000000"/>
                <w:sz w:val="18"/>
                <w:szCs w:val="18"/>
                <w:lang w:eastAsia="en-GB"/>
              </w:rPr>
              <w:t>Vantage</w:t>
            </w:r>
            <w:proofErr w:type="spellEnd"/>
            <w:r>
              <w:rPr>
                <w:rFonts w:ascii="Protokoll" w:hAnsi="Protokol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Protokoll" w:hAnsi="Protokoll"/>
                <w:color w:val="000000"/>
                <w:sz w:val="18"/>
                <w:szCs w:val="18"/>
                <w:lang w:eastAsia="en-GB"/>
              </w:rPr>
              <w:t>Towers</w:t>
            </w:r>
            <w:proofErr w:type="spellEnd"/>
            <w:r>
              <w:rPr>
                <w:rFonts w:ascii="Protokoll" w:hAnsi="Protokoll"/>
                <w:color w:val="000000"/>
                <w:sz w:val="18"/>
                <w:szCs w:val="18"/>
                <w:lang w:eastAsia="en-GB"/>
              </w:rPr>
              <w:t xml:space="preserve"> s.r.o., </w:t>
            </w:r>
          </w:p>
          <w:p w14:paraId="26287EA7" w14:textId="77777777" w:rsidR="00202144" w:rsidRDefault="00202144">
            <w:pPr>
              <w:rPr>
                <w:rFonts w:ascii="Protokoll" w:hAnsi="Protokol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Protokoll" w:hAnsi="Protokoll"/>
                <w:color w:val="000000"/>
                <w:sz w:val="18"/>
                <w:szCs w:val="18"/>
                <w:lang w:eastAsia="en-GB"/>
              </w:rPr>
              <w:t xml:space="preserve">Závišova 502/5, 140 00 Praha </w:t>
            </w:r>
            <w:proofErr w:type="gramStart"/>
            <w:r>
              <w:rPr>
                <w:rFonts w:ascii="Protokoll" w:hAnsi="Protokoll"/>
                <w:color w:val="000000"/>
                <w:sz w:val="18"/>
                <w:szCs w:val="18"/>
                <w:lang w:eastAsia="en-GB"/>
              </w:rPr>
              <w:t>4-Nusle</w:t>
            </w:r>
            <w:proofErr w:type="gramEnd"/>
            <w:r>
              <w:rPr>
                <w:rFonts w:ascii="Protokoll" w:hAnsi="Protokoll"/>
                <w:color w:val="000000"/>
                <w:sz w:val="18"/>
                <w:szCs w:val="18"/>
                <w:lang w:eastAsia="en-GB"/>
              </w:rPr>
              <w:t>, Czech Republic</w:t>
            </w:r>
            <w:r>
              <w:rPr>
                <w:color w:val="2E74B5"/>
              </w:rPr>
              <w:br/>
            </w:r>
            <w:hyperlink r:id="rId8" w:history="1">
              <w:r>
                <w:rPr>
                  <w:rStyle w:val="Hypertextovodkaz"/>
                  <w:rFonts w:ascii="Protokoll" w:hAnsi="Protokoll"/>
                  <w:color w:val="000000"/>
                  <w:sz w:val="18"/>
                  <w:szCs w:val="18"/>
                  <w:lang w:eastAsia="en-GB"/>
                </w:rPr>
                <w:t>vantagetowers.com</w:t>
              </w:r>
              <w:r>
                <w:rPr>
                  <w:color w:val="2E74B5"/>
                </w:rPr>
                <w:br/>
              </w:r>
            </w:hyperlink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8F8ADB" w14:textId="77777777" w:rsidR="00202144" w:rsidRDefault="00202144">
            <w:pPr>
              <w:spacing w:line="270" w:lineRule="atLeast"/>
              <w:jc w:val="center"/>
              <w:rPr>
                <w:color w:val="2E74B5"/>
              </w:rPr>
            </w:pPr>
            <w:r>
              <w:rPr>
                <w:noProof/>
                <w:color w:val="2E74B5"/>
              </w:rPr>
              <w:drawing>
                <wp:inline distT="0" distB="0" distL="0" distR="0" wp14:anchorId="172BBCD9" wp14:editId="03F8836A">
                  <wp:extent cx="142875" cy="27146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0BA15D" w14:textId="77777777" w:rsidR="00FD321C" w:rsidRDefault="00000000"/>
    <w:sectPr w:rsidR="00FD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tokoll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44"/>
    <w:rsid w:val="00202144"/>
    <w:rsid w:val="00872CD8"/>
    <w:rsid w:val="00B12788"/>
    <w:rsid w:val="00B5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CB38"/>
  <w15:chartTrackingRefBased/>
  <w15:docId w15:val="{1232D9C1-5039-4DC8-99DA-2CE0B46D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14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1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tagetower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vel.vavrik@vantagetower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74190.6C8572A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2.jpg@01D74190.6C8572A0" TargetMode="External"/><Relationship Id="rId4" Type="http://schemas.openxmlformats.org/officeDocument/2006/relationships/hyperlink" Target="https://www.vantagetowers.com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Planetová Jitka</cp:lastModifiedBy>
  <cp:revision>2</cp:revision>
  <dcterms:created xsi:type="dcterms:W3CDTF">2022-11-25T12:07:00Z</dcterms:created>
  <dcterms:modified xsi:type="dcterms:W3CDTF">2022-11-25T12:07:00Z</dcterms:modified>
</cp:coreProperties>
</file>