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568A07F" w14:textId="77777777" w:rsidR="00E24501" w:rsidRDefault="00E24501">
      <w:pPr>
        <w:rPr>
          <w:b/>
          <w:bCs/>
        </w:rPr>
      </w:pPr>
    </w:p>
    <w:p w14:paraId="69E1ED71" w14:textId="77777777" w:rsidR="00E24501" w:rsidRDefault="00E24501">
      <w:pPr>
        <w:rPr>
          <w:b/>
          <w:bCs/>
        </w:rPr>
      </w:pPr>
    </w:p>
    <w:tbl>
      <w:tblPr>
        <w:tblW w:w="9075" w:type="dxa"/>
        <w:tblInd w:w="55" w:type="dxa"/>
        <w:tblLayout w:type="fixed"/>
        <w:tblCellMar>
          <w:left w:w="0" w:type="dxa"/>
          <w:right w:w="0" w:type="dxa"/>
        </w:tblCellMar>
        <w:tblLook w:val="0000" w:firstRow="0" w:lastRow="0" w:firstColumn="0" w:lastColumn="0" w:noHBand="0" w:noVBand="0"/>
      </w:tblPr>
      <w:tblGrid>
        <w:gridCol w:w="1276"/>
        <w:gridCol w:w="3689"/>
        <w:gridCol w:w="4110"/>
      </w:tblGrid>
      <w:tr w:rsidR="00E24501" w:rsidRPr="006420E9" w14:paraId="14BCFEB3" w14:textId="77777777">
        <w:trPr>
          <w:trHeight w:val="170"/>
        </w:trPr>
        <w:tc>
          <w:tcPr>
            <w:tcW w:w="1276" w:type="dxa"/>
            <w:shd w:val="clear" w:color="auto" w:fill="auto"/>
            <w:tcMar>
              <w:top w:w="0" w:type="dxa"/>
              <w:left w:w="0" w:type="dxa"/>
              <w:bottom w:w="0" w:type="dxa"/>
              <w:right w:w="0" w:type="dxa"/>
            </w:tcMar>
            <w:vAlign w:val="center"/>
          </w:tcPr>
          <w:p w14:paraId="1B5F08EE" w14:textId="77777777" w:rsidR="00E24501" w:rsidRPr="00E21A8E" w:rsidRDefault="00E24501">
            <w:pPr>
              <w:tabs>
                <w:tab w:val="left" w:pos="5876"/>
              </w:tabs>
              <w:spacing w:line="100" w:lineRule="atLeast"/>
              <w:ind w:left="1260" w:hanging="1260"/>
              <w:rPr>
                <w:b/>
                <w:sz w:val="20"/>
                <w:szCs w:val="20"/>
              </w:rPr>
            </w:pPr>
            <w:r w:rsidRPr="00E21A8E">
              <w:rPr>
                <w:b/>
                <w:bCs/>
                <w:sz w:val="20"/>
                <w:szCs w:val="20"/>
              </w:rPr>
              <w:t>Váš dopis č.j.:</w:t>
            </w:r>
            <w:r w:rsidRPr="00E21A8E">
              <w:rPr>
                <w:b/>
                <w:sz w:val="20"/>
                <w:szCs w:val="20"/>
              </w:rPr>
              <w:tab/>
            </w:r>
          </w:p>
        </w:tc>
        <w:tc>
          <w:tcPr>
            <w:tcW w:w="3689" w:type="dxa"/>
            <w:shd w:val="clear" w:color="auto" w:fill="auto"/>
          </w:tcPr>
          <w:p w14:paraId="27E6561F" w14:textId="77777777" w:rsidR="006420E9" w:rsidRPr="00E21A8E" w:rsidRDefault="006420E9">
            <w:pPr>
              <w:pStyle w:val="Obsahtabulky"/>
              <w:spacing w:line="100" w:lineRule="atLeast"/>
              <w:rPr>
                <w:sz w:val="20"/>
                <w:szCs w:val="20"/>
              </w:rPr>
            </w:pPr>
          </w:p>
        </w:tc>
        <w:tc>
          <w:tcPr>
            <w:tcW w:w="4110" w:type="dxa"/>
            <w:vMerge w:val="restart"/>
            <w:shd w:val="clear" w:color="auto" w:fill="auto"/>
          </w:tcPr>
          <w:p w14:paraId="4A82BDED" w14:textId="77777777" w:rsidR="00E24501" w:rsidRPr="006420E9" w:rsidRDefault="00E24501">
            <w:pPr>
              <w:rPr>
                <w:b/>
                <w:bCs/>
                <w:sz w:val="20"/>
                <w:szCs w:val="20"/>
              </w:rPr>
            </w:pPr>
          </w:p>
        </w:tc>
      </w:tr>
      <w:tr w:rsidR="00E24501" w:rsidRPr="006420E9" w14:paraId="1954FE0C" w14:textId="77777777">
        <w:trPr>
          <w:trHeight w:val="170"/>
        </w:trPr>
        <w:tc>
          <w:tcPr>
            <w:tcW w:w="1276" w:type="dxa"/>
            <w:shd w:val="clear" w:color="auto" w:fill="auto"/>
            <w:tcMar>
              <w:top w:w="0" w:type="dxa"/>
              <w:left w:w="0" w:type="dxa"/>
              <w:bottom w:w="0" w:type="dxa"/>
              <w:right w:w="0" w:type="dxa"/>
            </w:tcMar>
            <w:vAlign w:val="center"/>
          </w:tcPr>
          <w:p w14:paraId="3183C516" w14:textId="77777777" w:rsidR="00E24501" w:rsidRPr="00E21A8E" w:rsidRDefault="00E24501">
            <w:pPr>
              <w:tabs>
                <w:tab w:val="left" w:pos="5876"/>
              </w:tabs>
              <w:spacing w:line="100" w:lineRule="atLeast"/>
              <w:ind w:left="1260" w:hanging="1260"/>
              <w:rPr>
                <w:b/>
                <w:sz w:val="20"/>
                <w:szCs w:val="20"/>
              </w:rPr>
            </w:pPr>
            <w:r w:rsidRPr="00E21A8E">
              <w:rPr>
                <w:b/>
                <w:bCs/>
                <w:sz w:val="20"/>
                <w:szCs w:val="20"/>
              </w:rPr>
              <w:t xml:space="preserve">Ze dne: </w:t>
            </w:r>
          </w:p>
        </w:tc>
        <w:tc>
          <w:tcPr>
            <w:tcW w:w="3689" w:type="dxa"/>
            <w:shd w:val="clear" w:color="auto" w:fill="auto"/>
          </w:tcPr>
          <w:p w14:paraId="272CAF57" w14:textId="77777777" w:rsidR="00E24501" w:rsidRPr="00E21A8E" w:rsidRDefault="00E24501">
            <w:pPr>
              <w:pStyle w:val="Obsahtabulky"/>
              <w:spacing w:line="100" w:lineRule="atLeast"/>
              <w:rPr>
                <w:sz w:val="20"/>
                <w:szCs w:val="20"/>
              </w:rPr>
            </w:pPr>
          </w:p>
        </w:tc>
        <w:tc>
          <w:tcPr>
            <w:tcW w:w="4110" w:type="dxa"/>
            <w:vMerge/>
            <w:shd w:val="clear" w:color="auto" w:fill="auto"/>
          </w:tcPr>
          <w:p w14:paraId="784F67FB" w14:textId="77777777" w:rsidR="00E24501" w:rsidRPr="006420E9" w:rsidRDefault="00E24501">
            <w:pPr>
              <w:pStyle w:val="Obsahtabulky"/>
            </w:pPr>
          </w:p>
        </w:tc>
      </w:tr>
      <w:tr w:rsidR="00E24501" w:rsidRPr="006420E9" w14:paraId="7B9833CD" w14:textId="77777777">
        <w:trPr>
          <w:trHeight w:val="170"/>
        </w:trPr>
        <w:tc>
          <w:tcPr>
            <w:tcW w:w="1276" w:type="dxa"/>
            <w:shd w:val="clear" w:color="auto" w:fill="auto"/>
            <w:tcMar>
              <w:top w:w="0" w:type="dxa"/>
              <w:left w:w="0" w:type="dxa"/>
              <w:bottom w:w="0" w:type="dxa"/>
              <w:right w:w="0" w:type="dxa"/>
            </w:tcMar>
            <w:vAlign w:val="center"/>
          </w:tcPr>
          <w:p w14:paraId="6CA2E18E" w14:textId="77777777" w:rsidR="00E24501" w:rsidRPr="00E21A8E" w:rsidRDefault="00E24501">
            <w:pPr>
              <w:tabs>
                <w:tab w:val="left" w:pos="5876"/>
              </w:tabs>
              <w:spacing w:line="100" w:lineRule="atLeast"/>
              <w:ind w:left="1260" w:hanging="1260"/>
              <w:rPr>
                <w:b/>
                <w:sz w:val="20"/>
                <w:szCs w:val="20"/>
              </w:rPr>
            </w:pPr>
            <w:r w:rsidRPr="00E21A8E">
              <w:rPr>
                <w:b/>
                <w:bCs/>
                <w:sz w:val="20"/>
                <w:szCs w:val="20"/>
              </w:rPr>
              <w:t xml:space="preserve">Spis. značka: </w:t>
            </w:r>
          </w:p>
        </w:tc>
        <w:tc>
          <w:tcPr>
            <w:tcW w:w="3689" w:type="dxa"/>
            <w:shd w:val="clear" w:color="auto" w:fill="auto"/>
          </w:tcPr>
          <w:p w14:paraId="3FB40490" w14:textId="13430801" w:rsidR="00E24501" w:rsidRPr="000C6BE1" w:rsidRDefault="005228F2">
            <w:pPr>
              <w:pStyle w:val="Obsahtabulky"/>
              <w:spacing w:line="100" w:lineRule="atLeast"/>
              <w:rPr>
                <w:b/>
                <w:sz w:val="20"/>
                <w:szCs w:val="20"/>
              </w:rPr>
            </w:pPr>
            <w:r>
              <w:rPr>
                <w:b/>
                <w:sz w:val="20"/>
                <w:szCs w:val="20"/>
              </w:rPr>
              <w:t>1147</w:t>
            </w:r>
            <w:r w:rsidR="000C6BE1" w:rsidRPr="000C6BE1">
              <w:rPr>
                <w:b/>
                <w:sz w:val="20"/>
                <w:szCs w:val="20"/>
              </w:rPr>
              <w:t>/20</w:t>
            </w:r>
            <w:r>
              <w:rPr>
                <w:b/>
                <w:sz w:val="20"/>
                <w:szCs w:val="20"/>
              </w:rPr>
              <w:t>21</w:t>
            </w:r>
            <w:r w:rsidR="000C6BE1" w:rsidRPr="000C6BE1">
              <w:rPr>
                <w:b/>
                <w:sz w:val="20"/>
                <w:szCs w:val="20"/>
              </w:rPr>
              <w:t xml:space="preserve"> – MO/TC</w:t>
            </w:r>
          </w:p>
        </w:tc>
        <w:tc>
          <w:tcPr>
            <w:tcW w:w="4110" w:type="dxa"/>
            <w:vMerge/>
            <w:shd w:val="clear" w:color="auto" w:fill="auto"/>
          </w:tcPr>
          <w:p w14:paraId="781FEB71" w14:textId="77777777" w:rsidR="00E24501" w:rsidRPr="006420E9" w:rsidRDefault="00E24501">
            <w:pPr>
              <w:pStyle w:val="Obsahtabulky"/>
            </w:pPr>
          </w:p>
        </w:tc>
      </w:tr>
      <w:tr w:rsidR="00E24501" w:rsidRPr="006420E9" w14:paraId="20DE69CF" w14:textId="77777777">
        <w:trPr>
          <w:trHeight w:val="170"/>
        </w:trPr>
        <w:tc>
          <w:tcPr>
            <w:tcW w:w="1276" w:type="dxa"/>
            <w:shd w:val="clear" w:color="auto" w:fill="auto"/>
            <w:tcMar>
              <w:top w:w="0" w:type="dxa"/>
              <w:left w:w="0" w:type="dxa"/>
              <w:bottom w:w="0" w:type="dxa"/>
              <w:right w:w="0" w:type="dxa"/>
            </w:tcMar>
            <w:vAlign w:val="center"/>
          </w:tcPr>
          <w:p w14:paraId="19083317" w14:textId="77777777" w:rsidR="00E24501" w:rsidRPr="00E21A8E" w:rsidRDefault="00E24501">
            <w:pPr>
              <w:tabs>
                <w:tab w:val="left" w:pos="5876"/>
              </w:tabs>
              <w:spacing w:line="100" w:lineRule="atLeast"/>
              <w:ind w:left="1260" w:hanging="1260"/>
              <w:rPr>
                <w:b/>
                <w:sz w:val="20"/>
                <w:szCs w:val="20"/>
              </w:rPr>
            </w:pPr>
            <w:r w:rsidRPr="00E21A8E">
              <w:rPr>
                <w:b/>
                <w:bCs/>
                <w:sz w:val="20"/>
                <w:szCs w:val="20"/>
              </w:rPr>
              <w:t>Naše č.j.:</w:t>
            </w:r>
          </w:p>
        </w:tc>
        <w:tc>
          <w:tcPr>
            <w:tcW w:w="3689" w:type="dxa"/>
            <w:shd w:val="clear" w:color="auto" w:fill="auto"/>
          </w:tcPr>
          <w:p w14:paraId="6A9CB752" w14:textId="0DAB21FF" w:rsidR="00E24501" w:rsidRPr="000C6BE1" w:rsidRDefault="005228F2">
            <w:pPr>
              <w:pStyle w:val="Obsahtabulky"/>
              <w:spacing w:line="100" w:lineRule="atLeast"/>
              <w:rPr>
                <w:b/>
                <w:sz w:val="20"/>
                <w:szCs w:val="20"/>
              </w:rPr>
            </w:pPr>
            <w:r>
              <w:rPr>
                <w:b/>
                <w:sz w:val="20"/>
                <w:szCs w:val="20"/>
              </w:rPr>
              <w:t>16</w:t>
            </w:r>
            <w:r w:rsidR="00A65A51">
              <w:rPr>
                <w:b/>
                <w:sz w:val="20"/>
                <w:szCs w:val="20"/>
              </w:rPr>
              <w:t>93</w:t>
            </w:r>
            <w:r w:rsidR="001E7351">
              <w:rPr>
                <w:b/>
                <w:sz w:val="20"/>
                <w:szCs w:val="20"/>
              </w:rPr>
              <w:t>/20</w:t>
            </w:r>
            <w:r>
              <w:rPr>
                <w:b/>
                <w:sz w:val="20"/>
                <w:szCs w:val="20"/>
              </w:rPr>
              <w:t>22</w:t>
            </w:r>
            <w:r w:rsidR="000C6BE1" w:rsidRPr="000C6BE1">
              <w:rPr>
                <w:b/>
                <w:sz w:val="20"/>
                <w:szCs w:val="20"/>
              </w:rPr>
              <w:t xml:space="preserve"> – MO/TC</w:t>
            </w:r>
          </w:p>
        </w:tc>
        <w:tc>
          <w:tcPr>
            <w:tcW w:w="4110" w:type="dxa"/>
            <w:vMerge/>
            <w:shd w:val="clear" w:color="auto" w:fill="auto"/>
          </w:tcPr>
          <w:p w14:paraId="1931A6F3" w14:textId="77777777" w:rsidR="00E24501" w:rsidRPr="006420E9" w:rsidRDefault="00E24501">
            <w:pPr>
              <w:pStyle w:val="Obsahtabulky"/>
            </w:pPr>
          </w:p>
        </w:tc>
      </w:tr>
      <w:tr w:rsidR="00E24501" w:rsidRPr="006420E9" w14:paraId="378F0EAC" w14:textId="77777777">
        <w:trPr>
          <w:trHeight w:val="170"/>
        </w:trPr>
        <w:tc>
          <w:tcPr>
            <w:tcW w:w="1276" w:type="dxa"/>
            <w:shd w:val="clear" w:color="auto" w:fill="auto"/>
            <w:tcMar>
              <w:top w:w="0" w:type="dxa"/>
              <w:left w:w="0" w:type="dxa"/>
              <w:bottom w:w="0" w:type="dxa"/>
              <w:right w:w="0" w:type="dxa"/>
            </w:tcMar>
            <w:vAlign w:val="center"/>
          </w:tcPr>
          <w:p w14:paraId="0F8DE027" w14:textId="77777777" w:rsidR="00E24501" w:rsidRPr="00E21A8E" w:rsidRDefault="00E24501">
            <w:pPr>
              <w:pStyle w:val="Obsahtabulky"/>
              <w:spacing w:line="100" w:lineRule="atLeast"/>
              <w:rPr>
                <w:b/>
                <w:bCs/>
                <w:sz w:val="20"/>
                <w:szCs w:val="20"/>
              </w:rPr>
            </w:pPr>
          </w:p>
        </w:tc>
        <w:tc>
          <w:tcPr>
            <w:tcW w:w="3689" w:type="dxa"/>
            <w:shd w:val="clear" w:color="auto" w:fill="auto"/>
          </w:tcPr>
          <w:p w14:paraId="50DCE340" w14:textId="77777777" w:rsidR="00E24501" w:rsidRPr="000C6BE1" w:rsidRDefault="00E24501">
            <w:pPr>
              <w:pStyle w:val="Obsahtabulky"/>
              <w:spacing w:line="100" w:lineRule="atLeast"/>
              <w:rPr>
                <w:b/>
                <w:sz w:val="20"/>
                <w:szCs w:val="20"/>
              </w:rPr>
            </w:pPr>
          </w:p>
        </w:tc>
        <w:tc>
          <w:tcPr>
            <w:tcW w:w="4110" w:type="dxa"/>
            <w:vMerge/>
            <w:shd w:val="clear" w:color="auto" w:fill="auto"/>
          </w:tcPr>
          <w:p w14:paraId="4506F919" w14:textId="77777777" w:rsidR="00E24501" w:rsidRPr="006420E9" w:rsidRDefault="00E24501">
            <w:pPr>
              <w:pStyle w:val="Obsahtabulky"/>
            </w:pPr>
          </w:p>
        </w:tc>
      </w:tr>
      <w:tr w:rsidR="00E24501" w:rsidRPr="006420E9" w14:paraId="20810A10" w14:textId="77777777">
        <w:trPr>
          <w:trHeight w:val="170"/>
        </w:trPr>
        <w:tc>
          <w:tcPr>
            <w:tcW w:w="1276" w:type="dxa"/>
            <w:shd w:val="clear" w:color="auto" w:fill="auto"/>
            <w:tcMar>
              <w:top w:w="0" w:type="dxa"/>
              <w:left w:w="0" w:type="dxa"/>
              <w:bottom w:w="0" w:type="dxa"/>
              <w:right w:w="0" w:type="dxa"/>
            </w:tcMar>
            <w:vAlign w:val="center"/>
          </w:tcPr>
          <w:p w14:paraId="0632A71E" w14:textId="77777777" w:rsidR="00E24501" w:rsidRPr="00E21A8E" w:rsidRDefault="00E24501">
            <w:pPr>
              <w:tabs>
                <w:tab w:val="left" w:pos="5876"/>
              </w:tabs>
              <w:spacing w:line="100" w:lineRule="atLeast"/>
              <w:ind w:left="1260" w:hanging="1260"/>
              <w:rPr>
                <w:b/>
                <w:sz w:val="20"/>
                <w:szCs w:val="20"/>
              </w:rPr>
            </w:pPr>
            <w:r w:rsidRPr="00E21A8E">
              <w:rPr>
                <w:b/>
                <w:bCs/>
                <w:sz w:val="20"/>
                <w:szCs w:val="20"/>
              </w:rPr>
              <w:t>Vyřizuje:</w:t>
            </w:r>
          </w:p>
        </w:tc>
        <w:tc>
          <w:tcPr>
            <w:tcW w:w="3689" w:type="dxa"/>
            <w:shd w:val="clear" w:color="auto" w:fill="auto"/>
          </w:tcPr>
          <w:p w14:paraId="6041DA13" w14:textId="77777777" w:rsidR="00E24501" w:rsidRPr="000C6BE1" w:rsidRDefault="000C6BE1">
            <w:pPr>
              <w:pStyle w:val="Obsahtabulky"/>
              <w:spacing w:line="100" w:lineRule="atLeast"/>
              <w:rPr>
                <w:b/>
                <w:sz w:val="20"/>
                <w:szCs w:val="20"/>
              </w:rPr>
            </w:pPr>
            <w:r w:rsidRPr="000C6BE1">
              <w:rPr>
                <w:b/>
                <w:sz w:val="20"/>
                <w:szCs w:val="20"/>
              </w:rPr>
              <w:t>Hájovská</w:t>
            </w:r>
          </w:p>
        </w:tc>
        <w:tc>
          <w:tcPr>
            <w:tcW w:w="4110" w:type="dxa"/>
            <w:vMerge/>
            <w:shd w:val="clear" w:color="auto" w:fill="auto"/>
          </w:tcPr>
          <w:p w14:paraId="5958033C" w14:textId="77777777" w:rsidR="00E24501" w:rsidRPr="006420E9" w:rsidRDefault="00E24501">
            <w:pPr>
              <w:pStyle w:val="Obsahtabulky"/>
            </w:pPr>
          </w:p>
        </w:tc>
      </w:tr>
      <w:tr w:rsidR="00E24501" w:rsidRPr="006420E9" w14:paraId="716E9FF9" w14:textId="77777777">
        <w:trPr>
          <w:trHeight w:val="170"/>
        </w:trPr>
        <w:tc>
          <w:tcPr>
            <w:tcW w:w="1276" w:type="dxa"/>
            <w:shd w:val="clear" w:color="auto" w:fill="auto"/>
            <w:tcMar>
              <w:top w:w="0" w:type="dxa"/>
              <w:left w:w="0" w:type="dxa"/>
              <w:bottom w:w="0" w:type="dxa"/>
              <w:right w:w="0" w:type="dxa"/>
            </w:tcMar>
            <w:vAlign w:val="center"/>
          </w:tcPr>
          <w:p w14:paraId="116BC58E" w14:textId="77777777" w:rsidR="00E24501" w:rsidRPr="00E21A8E" w:rsidRDefault="00E24501">
            <w:pPr>
              <w:tabs>
                <w:tab w:val="left" w:pos="5876"/>
              </w:tabs>
              <w:spacing w:line="100" w:lineRule="atLeast"/>
              <w:ind w:left="1260" w:hanging="1260"/>
              <w:rPr>
                <w:b/>
                <w:sz w:val="20"/>
                <w:szCs w:val="20"/>
              </w:rPr>
            </w:pPr>
            <w:r w:rsidRPr="00E21A8E">
              <w:rPr>
                <w:b/>
                <w:bCs/>
                <w:sz w:val="20"/>
                <w:szCs w:val="20"/>
              </w:rPr>
              <w:t>Telefon:</w:t>
            </w:r>
          </w:p>
        </w:tc>
        <w:tc>
          <w:tcPr>
            <w:tcW w:w="3689" w:type="dxa"/>
            <w:shd w:val="clear" w:color="auto" w:fill="auto"/>
          </w:tcPr>
          <w:p w14:paraId="6E86A5D6" w14:textId="77777777" w:rsidR="00E24501" w:rsidRPr="000C6BE1" w:rsidRDefault="000C6BE1">
            <w:pPr>
              <w:pStyle w:val="Obsahtabulky"/>
              <w:spacing w:line="100" w:lineRule="atLeast"/>
              <w:rPr>
                <w:b/>
                <w:sz w:val="20"/>
                <w:szCs w:val="20"/>
              </w:rPr>
            </w:pPr>
            <w:r w:rsidRPr="000C6BE1">
              <w:rPr>
                <w:b/>
                <w:sz w:val="20"/>
                <w:szCs w:val="20"/>
              </w:rPr>
              <w:t>374 774 183</w:t>
            </w:r>
          </w:p>
        </w:tc>
        <w:tc>
          <w:tcPr>
            <w:tcW w:w="4110" w:type="dxa"/>
            <w:vMerge/>
            <w:shd w:val="clear" w:color="auto" w:fill="auto"/>
          </w:tcPr>
          <w:p w14:paraId="3E94E6FF" w14:textId="77777777" w:rsidR="00E24501" w:rsidRPr="006420E9" w:rsidRDefault="00E24501">
            <w:pPr>
              <w:pStyle w:val="Obsahtabulky"/>
            </w:pPr>
          </w:p>
        </w:tc>
      </w:tr>
      <w:tr w:rsidR="00E24501" w:rsidRPr="006420E9" w14:paraId="1AC46D77" w14:textId="77777777">
        <w:trPr>
          <w:trHeight w:val="170"/>
        </w:trPr>
        <w:tc>
          <w:tcPr>
            <w:tcW w:w="1276" w:type="dxa"/>
            <w:shd w:val="clear" w:color="auto" w:fill="auto"/>
            <w:tcMar>
              <w:top w:w="0" w:type="dxa"/>
              <w:left w:w="0" w:type="dxa"/>
              <w:bottom w:w="0" w:type="dxa"/>
              <w:right w:w="0" w:type="dxa"/>
            </w:tcMar>
            <w:vAlign w:val="center"/>
          </w:tcPr>
          <w:p w14:paraId="3BFBFD68" w14:textId="77777777" w:rsidR="00E24501" w:rsidRPr="00E21A8E" w:rsidRDefault="00E24501">
            <w:pPr>
              <w:tabs>
                <w:tab w:val="left" w:pos="5876"/>
              </w:tabs>
              <w:spacing w:line="100" w:lineRule="atLeast"/>
              <w:ind w:left="1260" w:hanging="1260"/>
              <w:rPr>
                <w:b/>
                <w:sz w:val="20"/>
                <w:szCs w:val="20"/>
              </w:rPr>
            </w:pPr>
            <w:r w:rsidRPr="00E21A8E">
              <w:rPr>
                <w:b/>
                <w:bCs/>
                <w:sz w:val="20"/>
                <w:szCs w:val="20"/>
              </w:rPr>
              <w:t>E-mail:</w:t>
            </w:r>
          </w:p>
        </w:tc>
        <w:tc>
          <w:tcPr>
            <w:tcW w:w="3689" w:type="dxa"/>
            <w:shd w:val="clear" w:color="auto" w:fill="auto"/>
          </w:tcPr>
          <w:p w14:paraId="4D3552A0" w14:textId="77777777" w:rsidR="00E24501" w:rsidRPr="000C6BE1" w:rsidRDefault="000C6BE1">
            <w:pPr>
              <w:pStyle w:val="Obsahtabulky"/>
              <w:spacing w:line="100" w:lineRule="atLeast"/>
              <w:rPr>
                <w:b/>
                <w:sz w:val="20"/>
                <w:szCs w:val="20"/>
              </w:rPr>
            </w:pPr>
            <w:r w:rsidRPr="000C6BE1">
              <w:rPr>
                <w:b/>
                <w:sz w:val="20"/>
                <w:szCs w:val="20"/>
              </w:rPr>
              <w:t>svatoslava.hajovska@tachov-mesto.cz</w:t>
            </w:r>
          </w:p>
        </w:tc>
        <w:tc>
          <w:tcPr>
            <w:tcW w:w="4110" w:type="dxa"/>
            <w:vMerge/>
            <w:shd w:val="clear" w:color="auto" w:fill="auto"/>
          </w:tcPr>
          <w:p w14:paraId="11AFA7C8" w14:textId="77777777" w:rsidR="00E24501" w:rsidRPr="006420E9" w:rsidRDefault="00E24501">
            <w:pPr>
              <w:pStyle w:val="Obsahtabulky"/>
            </w:pPr>
          </w:p>
        </w:tc>
      </w:tr>
      <w:tr w:rsidR="00E24501" w:rsidRPr="006420E9" w14:paraId="562BB349" w14:textId="77777777">
        <w:trPr>
          <w:trHeight w:val="170"/>
        </w:trPr>
        <w:tc>
          <w:tcPr>
            <w:tcW w:w="1276" w:type="dxa"/>
            <w:shd w:val="clear" w:color="auto" w:fill="auto"/>
            <w:tcMar>
              <w:top w:w="0" w:type="dxa"/>
              <w:left w:w="0" w:type="dxa"/>
              <w:bottom w:w="0" w:type="dxa"/>
              <w:right w:w="0" w:type="dxa"/>
            </w:tcMar>
            <w:vAlign w:val="center"/>
          </w:tcPr>
          <w:p w14:paraId="7CA81E7B" w14:textId="77777777" w:rsidR="00E24501" w:rsidRPr="00E21A8E" w:rsidRDefault="00E24501">
            <w:pPr>
              <w:pStyle w:val="Obsahtabulky"/>
              <w:spacing w:line="100" w:lineRule="atLeast"/>
              <w:rPr>
                <w:b/>
                <w:bCs/>
                <w:sz w:val="20"/>
                <w:szCs w:val="20"/>
              </w:rPr>
            </w:pPr>
          </w:p>
        </w:tc>
        <w:tc>
          <w:tcPr>
            <w:tcW w:w="3689" w:type="dxa"/>
            <w:shd w:val="clear" w:color="auto" w:fill="auto"/>
          </w:tcPr>
          <w:p w14:paraId="58A653FC" w14:textId="77777777" w:rsidR="00E24501" w:rsidRPr="00E21A8E" w:rsidRDefault="00E24501">
            <w:pPr>
              <w:pStyle w:val="Obsahtabulky"/>
              <w:spacing w:line="100" w:lineRule="atLeast"/>
              <w:rPr>
                <w:sz w:val="20"/>
                <w:szCs w:val="20"/>
              </w:rPr>
            </w:pPr>
          </w:p>
        </w:tc>
        <w:tc>
          <w:tcPr>
            <w:tcW w:w="4110" w:type="dxa"/>
            <w:vMerge/>
            <w:shd w:val="clear" w:color="auto" w:fill="auto"/>
          </w:tcPr>
          <w:p w14:paraId="7FF0DBC3" w14:textId="77777777" w:rsidR="00E24501" w:rsidRPr="006420E9" w:rsidRDefault="00E24501">
            <w:pPr>
              <w:pStyle w:val="Obsahtabulky"/>
            </w:pPr>
          </w:p>
        </w:tc>
      </w:tr>
      <w:tr w:rsidR="00E24501" w:rsidRPr="006420E9" w14:paraId="00FEA3F3" w14:textId="77777777">
        <w:trPr>
          <w:trHeight w:val="170"/>
        </w:trPr>
        <w:tc>
          <w:tcPr>
            <w:tcW w:w="1276" w:type="dxa"/>
            <w:shd w:val="clear" w:color="auto" w:fill="auto"/>
            <w:tcMar>
              <w:top w:w="0" w:type="dxa"/>
              <w:left w:w="0" w:type="dxa"/>
              <w:bottom w:w="0" w:type="dxa"/>
              <w:right w:w="0" w:type="dxa"/>
            </w:tcMar>
            <w:vAlign w:val="center"/>
          </w:tcPr>
          <w:p w14:paraId="6589E3A4" w14:textId="77777777" w:rsidR="00E24501" w:rsidRPr="00E21A8E" w:rsidRDefault="00E24501">
            <w:pPr>
              <w:tabs>
                <w:tab w:val="left" w:pos="5876"/>
              </w:tabs>
              <w:spacing w:line="100" w:lineRule="atLeast"/>
              <w:ind w:left="1260" w:hanging="1260"/>
              <w:rPr>
                <w:b/>
                <w:sz w:val="20"/>
                <w:szCs w:val="20"/>
              </w:rPr>
            </w:pPr>
            <w:r w:rsidRPr="00E21A8E">
              <w:rPr>
                <w:b/>
                <w:bCs/>
                <w:sz w:val="20"/>
                <w:szCs w:val="20"/>
              </w:rPr>
              <w:t xml:space="preserve">Datum:  </w:t>
            </w:r>
          </w:p>
        </w:tc>
        <w:tc>
          <w:tcPr>
            <w:tcW w:w="3689" w:type="dxa"/>
            <w:shd w:val="clear" w:color="auto" w:fill="auto"/>
          </w:tcPr>
          <w:p w14:paraId="75EEE889" w14:textId="7EB7A226" w:rsidR="00E24501" w:rsidRPr="000C6BE1" w:rsidRDefault="005228F2">
            <w:pPr>
              <w:pStyle w:val="Obsahtabulky"/>
              <w:spacing w:line="100" w:lineRule="atLeast"/>
              <w:rPr>
                <w:b/>
                <w:sz w:val="20"/>
                <w:szCs w:val="20"/>
              </w:rPr>
            </w:pPr>
            <w:r>
              <w:rPr>
                <w:b/>
                <w:sz w:val="20"/>
                <w:szCs w:val="20"/>
              </w:rPr>
              <w:t>30.06.2022</w:t>
            </w:r>
          </w:p>
        </w:tc>
        <w:tc>
          <w:tcPr>
            <w:tcW w:w="4110" w:type="dxa"/>
            <w:vMerge/>
            <w:shd w:val="clear" w:color="auto" w:fill="auto"/>
          </w:tcPr>
          <w:p w14:paraId="695BC76E" w14:textId="77777777" w:rsidR="00E24501" w:rsidRPr="006420E9" w:rsidRDefault="00E24501">
            <w:pPr>
              <w:pStyle w:val="Obsahtabulky"/>
            </w:pPr>
          </w:p>
        </w:tc>
      </w:tr>
    </w:tbl>
    <w:p w14:paraId="43E464B7" w14:textId="77777777" w:rsidR="00E24501" w:rsidRDefault="00E24501"/>
    <w:p w14:paraId="7842BB95" w14:textId="77777777" w:rsidR="000C6BE1" w:rsidRPr="00A2770A" w:rsidRDefault="000C6BE1" w:rsidP="000C6BE1">
      <w:pPr>
        <w:ind w:left="1410" w:hanging="1410"/>
        <w:rPr>
          <w:b/>
        </w:rPr>
      </w:pPr>
      <w:r w:rsidRPr="00A2770A">
        <w:rPr>
          <w:b/>
        </w:rPr>
        <w:t>Zveřejnění záměru obce</w:t>
      </w:r>
    </w:p>
    <w:p w14:paraId="332332C6" w14:textId="77777777" w:rsidR="000C6BE1" w:rsidRDefault="000C6BE1" w:rsidP="000C6BE1">
      <w:pPr>
        <w:jc w:val="both"/>
      </w:pPr>
    </w:p>
    <w:p w14:paraId="685FA248" w14:textId="1AF973BA" w:rsidR="000C6BE1" w:rsidRDefault="000C6BE1" w:rsidP="000C6BE1">
      <w:pPr>
        <w:jc w:val="both"/>
      </w:pPr>
      <w:r w:rsidRPr="00A778DF">
        <w:t xml:space="preserve">Město Tachov dle </w:t>
      </w:r>
      <w:proofErr w:type="spellStart"/>
      <w:r w:rsidRPr="00A778DF">
        <w:t>ust</w:t>
      </w:r>
      <w:proofErr w:type="spellEnd"/>
      <w:r w:rsidRPr="00A778DF">
        <w:t xml:space="preserve">. § 39 odstavce č. 1) zákona č. 128/2000 Sb. o obcích (obecní </w:t>
      </w:r>
      <w:r>
        <w:t>z</w:t>
      </w:r>
      <w:r w:rsidRPr="00A778DF">
        <w:t>řízení) v platném znění zveřejňuje záměr obce</w:t>
      </w:r>
      <w:r>
        <w:t xml:space="preserve"> odprodat</w:t>
      </w:r>
      <w:r w:rsidRPr="00A778DF">
        <w:t xml:space="preserve"> nemovitý majetek</w:t>
      </w:r>
      <w:r w:rsidR="00174FCD">
        <w:t xml:space="preserve"> obálkovou metodou – pozemky v </w:t>
      </w:r>
      <w:proofErr w:type="spellStart"/>
      <w:r w:rsidR="00174FCD">
        <w:t>k.ú</w:t>
      </w:r>
      <w:proofErr w:type="spellEnd"/>
      <w:r w:rsidR="00174FCD">
        <w:t>. Mýto u Tachova dle GP č. 132-445/2021:</w:t>
      </w:r>
    </w:p>
    <w:p w14:paraId="37E18185" w14:textId="77777777" w:rsidR="000C6BE1" w:rsidRDefault="000C6BE1" w:rsidP="000C6BE1">
      <w:pPr>
        <w:jc w:val="both"/>
      </w:pPr>
    </w:p>
    <w:p w14:paraId="61328B3B" w14:textId="11C058D4" w:rsidR="000C6BE1" w:rsidRDefault="00174FCD" w:rsidP="000C6BE1">
      <w:pPr>
        <w:jc w:val="both"/>
        <w:rPr>
          <w:b/>
        </w:rPr>
      </w:pPr>
      <w:r>
        <w:rPr>
          <w:b/>
        </w:rPr>
        <w:t xml:space="preserve">Rodinný dům </w:t>
      </w:r>
      <w:r w:rsidR="0008071D">
        <w:rPr>
          <w:b/>
        </w:rPr>
        <w:t>I</w:t>
      </w:r>
      <w:r>
        <w:rPr>
          <w:b/>
        </w:rPr>
        <w:t>I</w:t>
      </w:r>
      <w:r w:rsidR="005228F2">
        <w:rPr>
          <w:b/>
        </w:rPr>
        <w:t>:</w:t>
      </w:r>
    </w:p>
    <w:p w14:paraId="3A42CFB1" w14:textId="5D6F4BEB" w:rsidR="0008071D" w:rsidRDefault="0008071D" w:rsidP="00D66431">
      <w:pPr>
        <w:jc w:val="both"/>
        <w:rPr>
          <w:bCs/>
        </w:rPr>
      </w:pPr>
      <w:proofErr w:type="spellStart"/>
      <w:r>
        <w:rPr>
          <w:bCs/>
        </w:rPr>
        <w:t>Poz</w:t>
      </w:r>
      <w:r w:rsidRPr="005C4932">
        <w:rPr>
          <w:bCs/>
        </w:rPr>
        <w:t>.p.č</w:t>
      </w:r>
      <w:proofErr w:type="spellEnd"/>
      <w:r w:rsidRPr="005C4932">
        <w:rPr>
          <w:bCs/>
        </w:rPr>
        <w:t xml:space="preserve">. 1/2, </w:t>
      </w:r>
      <w:proofErr w:type="spellStart"/>
      <w:r w:rsidRPr="005C4932">
        <w:rPr>
          <w:bCs/>
        </w:rPr>
        <w:t>p.p.č</w:t>
      </w:r>
      <w:proofErr w:type="spellEnd"/>
      <w:r w:rsidRPr="005C4932">
        <w:rPr>
          <w:bCs/>
        </w:rPr>
        <w:t xml:space="preserve">. 778/3, </w:t>
      </w:r>
      <w:proofErr w:type="spellStart"/>
      <w:r w:rsidRPr="005C4932">
        <w:rPr>
          <w:bCs/>
        </w:rPr>
        <w:t>p.p.č</w:t>
      </w:r>
      <w:proofErr w:type="spellEnd"/>
      <w:r w:rsidRPr="005C4932">
        <w:rPr>
          <w:bCs/>
        </w:rPr>
        <w:t xml:space="preserve"> 782/2 a </w:t>
      </w:r>
      <w:proofErr w:type="spellStart"/>
      <w:r w:rsidRPr="005C4932">
        <w:rPr>
          <w:bCs/>
        </w:rPr>
        <w:t>p.p.č</w:t>
      </w:r>
      <w:proofErr w:type="spellEnd"/>
      <w:r w:rsidRPr="005C4932">
        <w:rPr>
          <w:bCs/>
        </w:rPr>
        <w:t xml:space="preserve"> 1133 o celkové výměře 1635 m2 v </w:t>
      </w:r>
      <w:proofErr w:type="spellStart"/>
      <w:r w:rsidRPr="005C4932">
        <w:rPr>
          <w:bCs/>
        </w:rPr>
        <w:t>k.ú</w:t>
      </w:r>
      <w:proofErr w:type="spellEnd"/>
      <w:r w:rsidRPr="005C4932">
        <w:rPr>
          <w:bCs/>
        </w:rPr>
        <w:t>. Mýto u Tachova</w:t>
      </w:r>
      <w:r>
        <w:rPr>
          <w:bCs/>
        </w:rPr>
        <w:t xml:space="preserve"> obálkovou metodou</w:t>
      </w:r>
      <w:r w:rsidRPr="005C4932">
        <w:rPr>
          <w:bCs/>
        </w:rPr>
        <w:t xml:space="preserve"> pro účely výstavby rodinného domu za kupní cenu ve výši</w:t>
      </w:r>
      <w:r>
        <w:rPr>
          <w:bCs/>
        </w:rPr>
        <w:t xml:space="preserve"> min.</w:t>
      </w:r>
      <w:r w:rsidRPr="005C4932">
        <w:rPr>
          <w:bCs/>
        </w:rPr>
        <w:t xml:space="preserve"> 1.175.565 Kč + DPH v platné sazbě</w:t>
      </w:r>
      <w:r>
        <w:rPr>
          <w:bCs/>
        </w:rPr>
        <w:t xml:space="preserve">. </w:t>
      </w:r>
      <w:r w:rsidRPr="005C4932">
        <w:rPr>
          <w:bCs/>
        </w:rPr>
        <w:t xml:space="preserve">Kupující uhradí poměrné náklady </w:t>
      </w:r>
      <w:r w:rsidRPr="005C4932">
        <w:t>za zastavovací studii</w:t>
      </w:r>
      <w:r>
        <w:t xml:space="preserve"> (7.500 Kč)</w:t>
      </w:r>
      <w:r w:rsidRPr="005C4932">
        <w:t>, geometrický plán</w:t>
      </w:r>
      <w:r>
        <w:t xml:space="preserve"> (9.983 Kč)</w:t>
      </w:r>
      <w:r w:rsidRPr="005C4932">
        <w:t xml:space="preserve"> a znalecký posudek</w:t>
      </w:r>
      <w:r>
        <w:t xml:space="preserve"> (3.000 Kč)</w:t>
      </w:r>
      <w:r w:rsidRPr="005C4932">
        <w:t>.</w:t>
      </w:r>
    </w:p>
    <w:p w14:paraId="7A0E5A78" w14:textId="77777777" w:rsidR="00385CA9" w:rsidRPr="00A972D6" w:rsidRDefault="00385CA9" w:rsidP="00D66431">
      <w:pPr>
        <w:jc w:val="both"/>
        <w:rPr>
          <w:b/>
          <w:bCs/>
        </w:rPr>
      </w:pPr>
      <w:r w:rsidRPr="00A972D6">
        <w:rPr>
          <w:b/>
          <w:bCs/>
        </w:rPr>
        <w:t>Podmínky odprodeje:</w:t>
      </w:r>
    </w:p>
    <w:p w14:paraId="023CDA92" w14:textId="23A3CC54" w:rsidR="00D66431" w:rsidRDefault="005228F2" w:rsidP="00D66431">
      <w:pPr>
        <w:jc w:val="both"/>
      </w:pPr>
      <w:r w:rsidRPr="005C4932">
        <w:t>Kupní smlouva bude uzavřena po dokončení stavby, bude jí předcházet smlouva o budoucí kupní smlouvě</w:t>
      </w:r>
      <w:r w:rsidR="00385CA9">
        <w:t>. Stavba rodinného domu</w:t>
      </w:r>
      <w:r w:rsidRPr="005C4932">
        <w:t xml:space="preserve"> bude dokončena</w:t>
      </w:r>
      <w:r w:rsidR="00385CA9">
        <w:t xml:space="preserve"> nejpozději</w:t>
      </w:r>
      <w:r w:rsidRPr="005C4932">
        <w:t xml:space="preserve"> do 5 let ode dne podpisu</w:t>
      </w:r>
      <w:r w:rsidR="00385CA9">
        <w:t xml:space="preserve"> smlouvy o budoucí kupní smlouvě</w:t>
      </w:r>
      <w:r w:rsidRPr="005C4932">
        <w:t xml:space="preserve">. </w:t>
      </w:r>
      <w:r w:rsidR="00D66431">
        <w:t>Při podání žádosti bude složena jistina ve výši 10% celkové kupní ceny.</w:t>
      </w:r>
      <w:r w:rsidR="00A972D6">
        <w:t xml:space="preserve"> </w:t>
      </w:r>
    </w:p>
    <w:p w14:paraId="6A3B0B3E" w14:textId="77777777" w:rsidR="00A972D6" w:rsidRDefault="00A972D6" w:rsidP="00D66431">
      <w:pPr>
        <w:jc w:val="both"/>
      </w:pPr>
    </w:p>
    <w:p w14:paraId="37367B7B" w14:textId="77777777" w:rsidR="00D66431" w:rsidRDefault="00D66431" w:rsidP="00D66431">
      <w:pPr>
        <w:jc w:val="both"/>
        <w:rPr>
          <w:b/>
        </w:rPr>
      </w:pPr>
      <w:r>
        <w:rPr>
          <w:b/>
        </w:rPr>
        <w:t>Nabídka musí obsahovat:</w:t>
      </w:r>
    </w:p>
    <w:p w14:paraId="402BF38D" w14:textId="77777777" w:rsidR="00D66431" w:rsidRDefault="00D66431" w:rsidP="00D66431">
      <w:pPr>
        <w:numPr>
          <w:ilvl w:val="0"/>
          <w:numId w:val="3"/>
        </w:numPr>
        <w:suppressAutoHyphens w:val="0"/>
        <w:jc w:val="both"/>
        <w:rPr>
          <w:bCs/>
        </w:rPr>
      </w:pPr>
      <w:r>
        <w:rPr>
          <w:bCs/>
        </w:rPr>
        <w:t>jméno a adresu, v případě právnické osoby název a sídlo žadatele, tel. spojení</w:t>
      </w:r>
    </w:p>
    <w:p w14:paraId="712B4834" w14:textId="77777777" w:rsidR="00D66431" w:rsidRDefault="00D66431" w:rsidP="00D66431">
      <w:pPr>
        <w:numPr>
          <w:ilvl w:val="0"/>
          <w:numId w:val="3"/>
        </w:numPr>
        <w:suppressAutoHyphens w:val="0"/>
        <w:jc w:val="both"/>
        <w:rPr>
          <w:bCs/>
        </w:rPr>
      </w:pPr>
      <w:r>
        <w:rPr>
          <w:bCs/>
        </w:rPr>
        <w:t>nabídka výše kupní ceny v Kč za 1 m2 (uvádí se bez DPH)</w:t>
      </w:r>
    </w:p>
    <w:p w14:paraId="247DE6E2" w14:textId="77777777" w:rsidR="00D66431" w:rsidRDefault="00D66431" w:rsidP="00D66431">
      <w:pPr>
        <w:pStyle w:val="Bezmezer"/>
        <w:numPr>
          <w:ilvl w:val="0"/>
          <w:numId w:val="3"/>
        </w:numPr>
        <w:jc w:val="both"/>
        <w:rPr>
          <w:rFonts w:ascii="Times New Roman" w:hAnsi="Times New Roman"/>
          <w:sz w:val="24"/>
          <w:szCs w:val="24"/>
        </w:rPr>
      </w:pPr>
      <w:r>
        <w:rPr>
          <w:rFonts w:ascii="Times New Roman" w:hAnsi="Times New Roman"/>
          <w:sz w:val="24"/>
          <w:szCs w:val="24"/>
        </w:rPr>
        <w:t>prokázání bezúhonnosti – čestné prohlášení, že žadatel nemá nedoplatky v evidenci daní, zdravotního pojištění a sociálního zabezpečení, že nemá nedoplatky vůči Městu Tachov, není v insolvenčním řízení a není proti němu vedeno konkurzní řízení</w:t>
      </w:r>
    </w:p>
    <w:p w14:paraId="0D0F2679" w14:textId="77777777" w:rsidR="00D66431" w:rsidRDefault="00D66431" w:rsidP="00D66431">
      <w:pPr>
        <w:pStyle w:val="Bezmezer"/>
        <w:numPr>
          <w:ilvl w:val="0"/>
          <w:numId w:val="3"/>
        </w:numPr>
        <w:jc w:val="both"/>
        <w:rPr>
          <w:rFonts w:ascii="Times New Roman" w:hAnsi="Times New Roman"/>
          <w:sz w:val="24"/>
          <w:szCs w:val="24"/>
        </w:rPr>
      </w:pPr>
      <w:r>
        <w:rPr>
          <w:rFonts w:ascii="Times New Roman" w:hAnsi="Times New Roman"/>
          <w:sz w:val="24"/>
          <w:szCs w:val="24"/>
        </w:rPr>
        <w:t>originál nebo ověřenou kopii výpisu z rejstříku trestů</w:t>
      </w:r>
    </w:p>
    <w:p w14:paraId="1943B68B" w14:textId="77777777" w:rsidR="00D66431" w:rsidRDefault="00D66431" w:rsidP="00D66431">
      <w:pPr>
        <w:pStyle w:val="Bezmezer"/>
        <w:numPr>
          <w:ilvl w:val="0"/>
          <w:numId w:val="3"/>
        </w:numPr>
        <w:jc w:val="both"/>
        <w:rPr>
          <w:rFonts w:ascii="Times New Roman" w:hAnsi="Times New Roman"/>
          <w:sz w:val="24"/>
          <w:szCs w:val="24"/>
        </w:rPr>
      </w:pPr>
      <w:r>
        <w:rPr>
          <w:rFonts w:ascii="Times New Roman" w:hAnsi="Times New Roman"/>
          <w:sz w:val="24"/>
          <w:szCs w:val="24"/>
        </w:rPr>
        <w:t>doklad o složení jistiny (10 % z navržené kupní ceny)</w:t>
      </w:r>
    </w:p>
    <w:p w14:paraId="5566454B" w14:textId="700FA8BE" w:rsidR="00A972D6" w:rsidRDefault="00A972D6" w:rsidP="005228F2">
      <w:pPr>
        <w:contextualSpacing/>
        <w:jc w:val="both"/>
      </w:pPr>
      <w:r>
        <w:t xml:space="preserve">Zaplacení jistiny se řídí schválenými „Zásadami postupu při majetkoprávních úkonech k nemovitostem v majetku </w:t>
      </w:r>
      <w:r w:rsidR="005729B5">
        <w:t>m</w:t>
      </w:r>
      <w:r>
        <w:t>ěsta Tachov</w:t>
      </w:r>
      <w:r w:rsidR="005729B5">
        <w:t>a</w:t>
      </w:r>
      <w:r>
        <w:t>“:</w:t>
      </w:r>
    </w:p>
    <w:p w14:paraId="51FB7092" w14:textId="77777777" w:rsidR="007A4CBA" w:rsidRPr="002241FD" w:rsidRDefault="007A4CBA" w:rsidP="007A4CBA">
      <w:pPr>
        <w:jc w:val="both"/>
      </w:pPr>
      <w:r w:rsidRPr="002241FD">
        <w:t>V případě, že je vyhlášeno výběrové řízení obálkovou metodou, dokladuje se složení zálohy (jistiny) při podání obálky. Tato záloha (jistina) se po odsouhlasení prodeje ZM a před podpisem kupní smlouvy započte do kupní ceny. Jestliže žadatel po schválení prodeje ZM prodej zmaří (odstoupí od žádosti, nepodepíše kupní smlouvu, nezaplatí kupní cenu apod.), záloha (jistina) bude účtována jako smluvní pokuta ve prospěch Města Tachova. Nebude-li prodej nemovitosti schválen, záloha (jistina) je vrácena žadateli do 15 dnů od rozhodnutí ZM.</w:t>
      </w:r>
    </w:p>
    <w:p w14:paraId="162CDBDD" w14:textId="77777777" w:rsidR="007A4CBA" w:rsidRDefault="007A4CBA" w:rsidP="005228F2">
      <w:pPr>
        <w:contextualSpacing/>
        <w:jc w:val="both"/>
      </w:pPr>
    </w:p>
    <w:p w14:paraId="0FDC4124" w14:textId="0FBBBE53" w:rsidR="00A972D6" w:rsidRDefault="00A972D6" w:rsidP="005228F2">
      <w:pPr>
        <w:contextualSpacing/>
        <w:jc w:val="both"/>
      </w:pPr>
    </w:p>
    <w:p w14:paraId="30812B21" w14:textId="66605492" w:rsidR="00A972D6" w:rsidRDefault="00A972D6" w:rsidP="005228F2">
      <w:pPr>
        <w:contextualSpacing/>
        <w:jc w:val="both"/>
      </w:pPr>
    </w:p>
    <w:p w14:paraId="18995F1A" w14:textId="4EE217CD" w:rsidR="00A972D6" w:rsidRDefault="00A972D6" w:rsidP="005228F2">
      <w:pPr>
        <w:contextualSpacing/>
        <w:jc w:val="both"/>
      </w:pPr>
    </w:p>
    <w:p w14:paraId="52B7E585" w14:textId="0D6303FA" w:rsidR="00A972D6" w:rsidRDefault="007A4CBA" w:rsidP="005228F2">
      <w:pPr>
        <w:contextualSpacing/>
        <w:jc w:val="both"/>
      </w:pPr>
      <w:r>
        <w:t xml:space="preserve">Nabídky s požadovanými údaji je nutné doručit v zalepené obálce, označené heslem </w:t>
      </w:r>
      <w:r w:rsidRPr="007A4CBA">
        <w:rPr>
          <w:b/>
          <w:bCs/>
        </w:rPr>
        <w:t xml:space="preserve">„POZEMEK MÝTO </w:t>
      </w:r>
      <w:r w:rsidR="0008071D">
        <w:rPr>
          <w:b/>
          <w:bCs/>
        </w:rPr>
        <w:t>I</w:t>
      </w:r>
      <w:r w:rsidRPr="007A4CBA">
        <w:rPr>
          <w:b/>
          <w:bCs/>
        </w:rPr>
        <w:t>I“</w:t>
      </w:r>
      <w:r>
        <w:t xml:space="preserve"> na podatelnu Městského úřadu Tachov, a to nejpozději </w:t>
      </w:r>
      <w:r w:rsidRPr="00DF1CA1">
        <w:rPr>
          <w:b/>
          <w:bCs/>
        </w:rPr>
        <w:t>do 9. srpna 2022 do 12.00 hodin.</w:t>
      </w:r>
      <w:r>
        <w:t xml:space="preserve"> Vyhlašovatel není došlými návrhy vázán a vyhrazuje si právo odmítnout všechny nabídky bez udání důvodu.</w:t>
      </w:r>
    </w:p>
    <w:p w14:paraId="0922F529" w14:textId="77777777" w:rsidR="007A4CBA" w:rsidRDefault="007A4CBA" w:rsidP="005228F2">
      <w:pPr>
        <w:contextualSpacing/>
        <w:jc w:val="both"/>
      </w:pPr>
    </w:p>
    <w:p w14:paraId="70AE3D3D" w14:textId="30F6F6B3" w:rsidR="007A4CBA" w:rsidRPr="00A778DF" w:rsidRDefault="007A4CBA" w:rsidP="007A4CBA">
      <w:pPr>
        <w:jc w:val="both"/>
      </w:pPr>
      <w:r>
        <w:t>Záměr prodeje schválilo ZM dne</w:t>
      </w:r>
      <w:r w:rsidR="00DF1CA1">
        <w:t xml:space="preserve"> 20.06.2022</w:t>
      </w:r>
      <w:r>
        <w:t xml:space="preserve"> v usnesení č.</w:t>
      </w:r>
      <w:r w:rsidR="00DF1CA1">
        <w:t xml:space="preserve"> 26/639 </w:t>
      </w:r>
      <w:r w:rsidR="0008071D">
        <w:t>b</w:t>
      </w:r>
      <w:r w:rsidR="00DF1CA1">
        <w:t>).</w:t>
      </w:r>
    </w:p>
    <w:p w14:paraId="677038E8" w14:textId="59FB25AE" w:rsidR="007A4CBA" w:rsidRDefault="007A4CBA" w:rsidP="00DF1CA1">
      <w:pPr>
        <w:pStyle w:val="Zkladntext"/>
        <w:jc w:val="both"/>
      </w:pPr>
      <w:r>
        <w:t>Podrobné informace</w:t>
      </w:r>
      <w:r w:rsidR="00DF1CA1">
        <w:t xml:space="preserve"> k prodeji (nahlédnutí do zastavovací studie, znaleckého posudku a </w:t>
      </w:r>
      <w:proofErr w:type="spellStart"/>
      <w:r w:rsidR="00DF1CA1">
        <w:t>geom</w:t>
      </w:r>
      <w:proofErr w:type="spellEnd"/>
      <w:r w:rsidR="00DF1CA1">
        <w:t>. plánu)</w:t>
      </w:r>
      <w:r>
        <w:t xml:space="preserve"> obdržíte na majetkoprávním odboru, pracoviště Hornická 1695, 1. patro, dveře č. 206 </w:t>
      </w:r>
      <w:r w:rsidR="00DF1CA1">
        <w:t xml:space="preserve">   </w:t>
      </w:r>
      <w:r>
        <w:t>u p</w:t>
      </w:r>
      <w:r w:rsidR="00DF1CA1">
        <w:t xml:space="preserve">. </w:t>
      </w:r>
      <w:proofErr w:type="spellStart"/>
      <w:r>
        <w:t>Hájovské</w:t>
      </w:r>
      <w:proofErr w:type="spellEnd"/>
      <w:r>
        <w:t>,</w:t>
      </w:r>
      <w:r w:rsidR="00DF1CA1">
        <w:t xml:space="preserve"> e-mail: </w:t>
      </w:r>
      <w:hyperlink r:id="rId7" w:history="1">
        <w:r w:rsidR="00DF1CA1" w:rsidRPr="004608C3">
          <w:rPr>
            <w:rStyle w:val="Hypertextovodkaz"/>
          </w:rPr>
          <w:t>svatoslava.hajovska@tachov-mesto.cz</w:t>
        </w:r>
      </w:hyperlink>
      <w:r w:rsidR="00DF1CA1">
        <w:t>,</w:t>
      </w:r>
      <w:r>
        <w:t xml:space="preserve"> </w:t>
      </w:r>
      <w:proofErr w:type="spellStart"/>
      <w:r>
        <w:t>tel.č</w:t>
      </w:r>
      <w:proofErr w:type="spellEnd"/>
      <w:r>
        <w:t>. 374 774 183, 774 744</w:t>
      </w:r>
      <w:r w:rsidR="00DF1CA1">
        <w:t> </w:t>
      </w:r>
      <w:r>
        <w:t>822</w:t>
      </w:r>
      <w:r w:rsidR="00DF1CA1">
        <w:t>.</w:t>
      </w:r>
    </w:p>
    <w:p w14:paraId="6486EC0E" w14:textId="77777777" w:rsidR="00A972D6" w:rsidRDefault="00A972D6" w:rsidP="005228F2">
      <w:pPr>
        <w:contextualSpacing/>
        <w:jc w:val="both"/>
      </w:pPr>
    </w:p>
    <w:p w14:paraId="5EC0068D" w14:textId="77777777" w:rsidR="000C6BE1" w:rsidRDefault="000C6BE1" w:rsidP="000C6BE1">
      <w:pPr>
        <w:tabs>
          <w:tab w:val="left" w:pos="5876"/>
        </w:tabs>
        <w:ind w:left="1260" w:hanging="1260"/>
        <w:rPr>
          <w:bCs/>
        </w:rPr>
      </w:pPr>
    </w:p>
    <w:p w14:paraId="07C845B0" w14:textId="77777777" w:rsidR="000C6BE1" w:rsidRDefault="000C6BE1" w:rsidP="000C6BE1">
      <w:pPr>
        <w:tabs>
          <w:tab w:val="left" w:pos="5876"/>
        </w:tabs>
        <w:ind w:left="1260" w:hanging="1260"/>
        <w:rPr>
          <w:bCs/>
        </w:rPr>
      </w:pPr>
    </w:p>
    <w:p w14:paraId="29262B15" w14:textId="77777777" w:rsidR="000C6BE1" w:rsidRDefault="000C6BE1" w:rsidP="000C6BE1">
      <w:pPr>
        <w:tabs>
          <w:tab w:val="left" w:pos="5876"/>
        </w:tabs>
        <w:ind w:left="1260" w:hanging="1260"/>
        <w:rPr>
          <w:bCs/>
        </w:rPr>
      </w:pPr>
    </w:p>
    <w:p w14:paraId="384F9CAC" w14:textId="77777777" w:rsidR="000C6BE1" w:rsidRDefault="000C6BE1" w:rsidP="000C6BE1">
      <w:pPr>
        <w:tabs>
          <w:tab w:val="left" w:pos="5876"/>
        </w:tabs>
        <w:ind w:left="1260" w:hanging="1260"/>
        <w:rPr>
          <w:bCs/>
        </w:rPr>
      </w:pPr>
    </w:p>
    <w:p w14:paraId="1144A3B8" w14:textId="77777777" w:rsidR="000C6BE1" w:rsidRDefault="000C6BE1" w:rsidP="000C6BE1">
      <w:pPr>
        <w:tabs>
          <w:tab w:val="left" w:pos="5876"/>
        </w:tabs>
        <w:ind w:left="1260" w:hanging="1260"/>
        <w:rPr>
          <w:bCs/>
        </w:rPr>
      </w:pPr>
    </w:p>
    <w:p w14:paraId="11498F15" w14:textId="77777777" w:rsidR="000C6BE1" w:rsidRDefault="000C6BE1" w:rsidP="000C6BE1">
      <w:pPr>
        <w:tabs>
          <w:tab w:val="left" w:pos="5876"/>
        </w:tabs>
        <w:ind w:left="1260" w:hanging="1260"/>
        <w:rPr>
          <w:bCs/>
        </w:rPr>
      </w:pPr>
      <w:r>
        <w:rPr>
          <w:bCs/>
        </w:rPr>
        <w:t>Ing. Bc. Drahomíra Červinková</w:t>
      </w:r>
    </w:p>
    <w:p w14:paraId="4E02C5CF" w14:textId="77777777" w:rsidR="000C6BE1" w:rsidRDefault="000C6BE1" w:rsidP="000C6BE1">
      <w:pPr>
        <w:tabs>
          <w:tab w:val="left" w:pos="5876"/>
        </w:tabs>
        <w:ind w:left="1260" w:hanging="1260"/>
        <w:rPr>
          <w:bCs/>
        </w:rPr>
      </w:pPr>
      <w:r>
        <w:rPr>
          <w:bCs/>
        </w:rPr>
        <w:t>vedoucí majetkoprávního odboru</w:t>
      </w:r>
    </w:p>
    <w:p w14:paraId="5B6B8458" w14:textId="77777777" w:rsidR="000C6BE1" w:rsidRDefault="000C6BE1" w:rsidP="000C6BE1">
      <w:pPr>
        <w:tabs>
          <w:tab w:val="left" w:pos="5876"/>
        </w:tabs>
        <w:ind w:left="1260" w:hanging="1260"/>
        <w:rPr>
          <w:bCs/>
        </w:rPr>
      </w:pPr>
    </w:p>
    <w:p w14:paraId="46C0FE42" w14:textId="77777777" w:rsidR="000C6BE1" w:rsidRDefault="000C6BE1" w:rsidP="000C6BE1">
      <w:pPr>
        <w:tabs>
          <w:tab w:val="left" w:pos="5876"/>
        </w:tabs>
        <w:ind w:left="1260" w:hanging="1260"/>
        <w:rPr>
          <w:bCs/>
        </w:rPr>
      </w:pPr>
    </w:p>
    <w:p w14:paraId="74E6FF18" w14:textId="76562B9B" w:rsidR="000C6BE1" w:rsidRPr="00A778DF" w:rsidRDefault="000C6BE1" w:rsidP="000C6BE1">
      <w:r w:rsidRPr="00A778DF">
        <w:t>Vyvěšeno dne:</w:t>
      </w:r>
      <w:r w:rsidR="00A65A51">
        <w:t xml:space="preserve"> 01.07.2022</w:t>
      </w:r>
      <w:r w:rsidRPr="00A778DF">
        <w:tab/>
      </w:r>
      <w:r w:rsidRPr="00A778DF">
        <w:tab/>
      </w:r>
      <w:r w:rsidRPr="00A778DF">
        <w:tab/>
      </w:r>
      <w:r w:rsidRPr="00A778DF">
        <w:tab/>
      </w:r>
      <w:r w:rsidRPr="00A778DF">
        <w:tab/>
        <w:t>Sejmuto</w:t>
      </w:r>
      <w:r>
        <w:t xml:space="preserve"> dne</w:t>
      </w:r>
      <w:r w:rsidRPr="00A778DF">
        <w:t xml:space="preserve">: </w:t>
      </w:r>
      <w:r w:rsidR="00A65A51">
        <w:t>30.08.2022</w:t>
      </w:r>
    </w:p>
    <w:p w14:paraId="5CD522BE" w14:textId="77777777" w:rsidR="000C6BE1" w:rsidRDefault="000C6BE1" w:rsidP="000C6BE1">
      <w:pPr>
        <w:tabs>
          <w:tab w:val="left" w:pos="5876"/>
        </w:tabs>
        <w:ind w:left="1260" w:hanging="1260"/>
        <w:rPr>
          <w:bCs/>
        </w:rPr>
      </w:pPr>
    </w:p>
    <w:p w14:paraId="2BC96CBC" w14:textId="77777777" w:rsidR="00BF244F" w:rsidRDefault="00BF244F" w:rsidP="00BF244F">
      <w:pPr>
        <w:jc w:val="both"/>
        <w:rPr>
          <w:b/>
        </w:rPr>
      </w:pPr>
    </w:p>
    <w:p w14:paraId="3535BEA3" w14:textId="77777777" w:rsidR="00BF244F" w:rsidRDefault="00BF244F" w:rsidP="00BF244F">
      <w:pPr>
        <w:jc w:val="both"/>
        <w:rPr>
          <w:b/>
        </w:rPr>
      </w:pPr>
    </w:p>
    <w:p w14:paraId="33154C5E" w14:textId="77777777" w:rsidR="00BF244F" w:rsidRDefault="00BF244F" w:rsidP="00BF244F">
      <w:pPr>
        <w:jc w:val="both"/>
        <w:rPr>
          <w:b/>
        </w:rPr>
      </w:pPr>
    </w:p>
    <w:p w14:paraId="77A2C9EE" w14:textId="77777777" w:rsidR="000C6BE1" w:rsidRDefault="000C6BE1"/>
    <w:p w14:paraId="3B29B9C7" w14:textId="77777777" w:rsidR="00E24501" w:rsidRDefault="00E24501"/>
    <w:p w14:paraId="4AC8ED1F" w14:textId="77777777" w:rsidR="00E24501" w:rsidRDefault="00E24501"/>
    <w:sectPr w:rsidR="00E24501">
      <w:headerReference w:type="default" r:id="rId8"/>
      <w:footerReference w:type="default" r:id="rId9"/>
      <w:pgSz w:w="11906" w:h="16838"/>
      <w:pgMar w:top="76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47C34" w14:textId="77777777" w:rsidR="003364D6" w:rsidRDefault="003364D6">
      <w:r>
        <w:separator/>
      </w:r>
    </w:p>
  </w:endnote>
  <w:endnote w:type="continuationSeparator" w:id="0">
    <w:p w14:paraId="31F47DDE" w14:textId="77777777" w:rsidR="003364D6" w:rsidRDefault="00336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7E908" w14:textId="77777777" w:rsidR="00E24501" w:rsidRDefault="00E24501">
    <w:pPr>
      <w:rPr>
        <w:b/>
        <w:bCs/>
        <w:sz w:val="20"/>
        <w:szCs w:val="20"/>
      </w:rPr>
    </w:pPr>
    <w:r>
      <w:rPr>
        <w:b/>
        <w:bCs/>
        <w:sz w:val="20"/>
        <w:szCs w:val="20"/>
      </w:rPr>
      <w:t>Telefon: 374 774 111</w:t>
    </w:r>
    <w:r>
      <w:rPr>
        <w:b/>
        <w:bCs/>
        <w:sz w:val="20"/>
        <w:szCs w:val="20"/>
      </w:rPr>
      <w:tab/>
    </w:r>
    <w:r>
      <w:rPr>
        <w:b/>
        <w:bCs/>
        <w:sz w:val="20"/>
        <w:szCs w:val="20"/>
      </w:rPr>
      <w:tab/>
      <w:t>IČ:</w:t>
    </w:r>
    <w:r>
      <w:rPr>
        <w:b/>
        <w:sz w:val="20"/>
        <w:szCs w:val="20"/>
      </w:rPr>
      <w:t xml:space="preserve"> 00260231</w:t>
    </w:r>
    <w:r>
      <w:rPr>
        <w:b/>
        <w:bCs/>
        <w:sz w:val="20"/>
        <w:szCs w:val="20"/>
      </w:rPr>
      <w:tab/>
    </w:r>
    <w:r>
      <w:rPr>
        <w:b/>
        <w:bCs/>
        <w:sz w:val="20"/>
        <w:szCs w:val="20"/>
      </w:rPr>
      <w:tab/>
      <w:t>příjmový účet: KB Tachov 2688980287/0100</w:t>
    </w:r>
  </w:p>
  <w:p w14:paraId="1E53C1C8" w14:textId="77777777" w:rsidR="00E24501" w:rsidRDefault="00E24501">
    <w:r>
      <w:rPr>
        <w:b/>
        <w:bCs/>
        <w:sz w:val="20"/>
        <w:szCs w:val="20"/>
      </w:rPr>
      <w:t>Fax: 374 774 175</w:t>
    </w:r>
    <w:r>
      <w:rPr>
        <w:b/>
        <w:bCs/>
        <w:sz w:val="20"/>
        <w:szCs w:val="20"/>
      </w:rPr>
      <w:tab/>
    </w:r>
    <w:r>
      <w:rPr>
        <w:b/>
        <w:bCs/>
        <w:sz w:val="20"/>
        <w:szCs w:val="20"/>
      </w:rPr>
      <w:tab/>
      <w:t>DIČ:</w:t>
    </w:r>
    <w:r>
      <w:rPr>
        <w:b/>
        <w:sz w:val="20"/>
        <w:szCs w:val="20"/>
      </w:rPr>
      <w:t xml:space="preserve"> CZ00260231</w:t>
    </w:r>
    <w:r>
      <w:rPr>
        <w:b/>
        <w:bCs/>
        <w:sz w:val="20"/>
        <w:szCs w:val="20"/>
      </w:rPr>
      <w:tab/>
      <w:t xml:space="preserve">výdajový účet: KB Tachov 2688970257/0100        </w:t>
    </w:r>
    <w:hyperlink r:id="rId1" w:history="1">
      <w:r>
        <w:rPr>
          <w:rStyle w:val="Hypertextovodkaz"/>
        </w:rPr>
        <w:t>www.tachov-mesto.cz</w:t>
      </w:r>
    </w:hyperlink>
    <w:r>
      <w:rPr>
        <w:b/>
        <w:sz w:val="20"/>
        <w:szCs w:val="20"/>
      </w:rPr>
      <w:tab/>
    </w:r>
    <w:r>
      <w:rPr>
        <w:b/>
        <w:bCs/>
        <w:sz w:val="6"/>
        <w:szCs w:val="6"/>
      </w:rPr>
      <w:tab/>
    </w:r>
    <w:r>
      <w:rPr>
        <w:b/>
        <w:bCs/>
        <w:sz w:val="6"/>
        <w:szCs w:val="6"/>
      </w:rPr>
      <w:tab/>
    </w:r>
    <w:r>
      <w:rPr>
        <w:b/>
        <w:bCs/>
        <w:sz w:val="6"/>
        <w:szCs w:val="6"/>
      </w:rPr>
      <w:tab/>
    </w:r>
    <w:r>
      <w:rPr>
        <w:b/>
        <w:bCs/>
        <w:sz w:val="6"/>
        <w:szCs w:val="6"/>
      </w:rPr>
      <w:tab/>
    </w:r>
    <w:r>
      <w:rPr>
        <w:b/>
        <w:sz w:val="20"/>
        <w:szCs w:val="20"/>
      </w:rPr>
      <w:t xml:space="preserve">e-mail: </w:t>
    </w:r>
    <w:hyperlink r:id="rId2" w:history="1">
      <w:r>
        <w:rPr>
          <w:rStyle w:val="Hypertextovodkaz"/>
        </w:rPr>
        <w:t>podatelna@tachov-mesto.cz</w:t>
      </w:r>
    </w:hyperlink>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D6742" w14:textId="77777777" w:rsidR="003364D6" w:rsidRDefault="003364D6">
      <w:r>
        <w:separator/>
      </w:r>
    </w:p>
  </w:footnote>
  <w:footnote w:type="continuationSeparator" w:id="0">
    <w:p w14:paraId="4716A23B" w14:textId="77777777" w:rsidR="003364D6" w:rsidRDefault="00336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715B5" w14:textId="77777777" w:rsidR="00E24501" w:rsidRDefault="000C6BE1">
    <w:pPr>
      <w:pStyle w:val="Nadpis1"/>
      <w:ind w:left="1416" w:firstLine="0"/>
      <w:rPr>
        <w:i/>
        <w:sz w:val="36"/>
        <w:szCs w:val="36"/>
      </w:rPr>
    </w:pPr>
    <w:r>
      <w:rPr>
        <w:noProof/>
        <w:lang w:eastAsia="cs-CZ"/>
      </w:rPr>
      <w:drawing>
        <wp:anchor distT="0" distB="0" distL="114300" distR="114300" simplePos="0" relativeHeight="251657728" behindDoc="0" locked="0" layoutInCell="1" allowOverlap="1" wp14:anchorId="06E4F7BA" wp14:editId="19004DC0">
          <wp:simplePos x="0" y="0"/>
          <wp:positionH relativeFrom="column">
            <wp:posOffset>24130</wp:posOffset>
          </wp:positionH>
          <wp:positionV relativeFrom="paragraph">
            <wp:posOffset>85090</wp:posOffset>
          </wp:positionV>
          <wp:extent cx="687070" cy="812800"/>
          <wp:effectExtent l="0" t="0" r="0" b="0"/>
          <wp:wrapNone/>
          <wp:docPr id="2" name="obrázek 2" descr="znak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_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24501">
      <w:rPr>
        <w:i/>
        <w:sz w:val="56"/>
        <w:szCs w:val="56"/>
      </w:rPr>
      <w:t>Město Tachov</w:t>
    </w:r>
  </w:p>
  <w:p w14:paraId="7968CBAB" w14:textId="77777777" w:rsidR="00E24501" w:rsidRDefault="00E24501">
    <w:pPr>
      <w:pStyle w:val="Nadpis1"/>
      <w:ind w:left="708" w:firstLine="708"/>
      <w:rPr>
        <w:i/>
        <w:sz w:val="36"/>
        <w:szCs w:val="36"/>
      </w:rPr>
    </w:pPr>
    <w:r>
      <w:rPr>
        <w:i/>
        <w:sz w:val="36"/>
        <w:szCs w:val="36"/>
      </w:rPr>
      <w:t>Hornická 1695, 347 01 TACHOV</w:t>
    </w:r>
  </w:p>
  <w:p w14:paraId="445A5655" w14:textId="77777777" w:rsidR="00E24501" w:rsidRDefault="005F4ED4">
    <w:pPr>
      <w:ind w:left="708" w:firstLine="708"/>
    </w:pPr>
    <w:r>
      <w:rPr>
        <w:b/>
        <w:i/>
        <w:sz w:val="36"/>
        <w:szCs w:val="36"/>
      </w:rPr>
      <w:t>Majetkoprávní odbor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70170D0"/>
    <w:multiLevelType w:val="hybridMultilevel"/>
    <w:tmpl w:val="45EAB1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666E508E"/>
    <w:multiLevelType w:val="hybridMultilevel"/>
    <w:tmpl w:val="EB886EF4"/>
    <w:lvl w:ilvl="0" w:tplc="E70076DE">
      <w:start w:val="1"/>
      <w:numFmt w:val="lowerLetter"/>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1972402104">
    <w:abstractNumId w:val="0"/>
  </w:num>
  <w:num w:numId="2" w16cid:durableId="14449618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0576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8F2"/>
    <w:rsid w:val="00021B70"/>
    <w:rsid w:val="0008071D"/>
    <w:rsid w:val="000C6BE1"/>
    <w:rsid w:val="00174FCD"/>
    <w:rsid w:val="001E7351"/>
    <w:rsid w:val="003364D6"/>
    <w:rsid w:val="00385CA9"/>
    <w:rsid w:val="005228F2"/>
    <w:rsid w:val="005729B5"/>
    <w:rsid w:val="005F4ED4"/>
    <w:rsid w:val="006420E9"/>
    <w:rsid w:val="006B2CA0"/>
    <w:rsid w:val="007936FA"/>
    <w:rsid w:val="007A4CBA"/>
    <w:rsid w:val="00952F5C"/>
    <w:rsid w:val="00A445FF"/>
    <w:rsid w:val="00A65A51"/>
    <w:rsid w:val="00A7516C"/>
    <w:rsid w:val="00A972D6"/>
    <w:rsid w:val="00B30A6E"/>
    <w:rsid w:val="00BF244F"/>
    <w:rsid w:val="00C61161"/>
    <w:rsid w:val="00C761EE"/>
    <w:rsid w:val="00D66431"/>
    <w:rsid w:val="00DA6152"/>
    <w:rsid w:val="00DF1CA1"/>
    <w:rsid w:val="00E21A8E"/>
    <w:rsid w:val="00E24501"/>
    <w:rsid w:val="00E43E01"/>
    <w:rsid w:val="00F5730E"/>
    <w:rsid w:val="00FA43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E8B08BB"/>
  <w15:chartTrackingRefBased/>
  <w15:docId w15:val="{D1D5E9DE-8DCA-45D8-9FC1-EABDC3BF5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suppressAutoHyphens/>
    </w:pPr>
    <w:rPr>
      <w:sz w:val="24"/>
      <w:szCs w:val="24"/>
      <w:lang w:eastAsia="zh-CN"/>
    </w:rPr>
  </w:style>
  <w:style w:type="paragraph" w:styleId="Nadpis1">
    <w:name w:val="heading 1"/>
    <w:basedOn w:val="Normln"/>
    <w:next w:val="Normln"/>
    <w:qFormat/>
    <w:pPr>
      <w:keepNext/>
      <w:numPr>
        <w:numId w:val="1"/>
      </w:numPr>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character" w:styleId="Hypertextovodkaz">
    <w:name w:val="Hyperlink"/>
    <w:rPr>
      <w:color w:val="0000FF"/>
      <w:u w:val="single"/>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Textbubliny">
    <w:name w:val="Balloon Text"/>
    <w:basedOn w:val="Normln"/>
    <w:rPr>
      <w:rFonts w:ascii="Tahoma" w:hAnsi="Tahoma" w:cs="Tahoma"/>
      <w:sz w:val="16"/>
      <w:szCs w:val="16"/>
    </w:rPr>
  </w:style>
  <w:style w:type="paragraph" w:customStyle="1" w:styleId="Obsahrmce">
    <w:name w:val="Obsah rámce"/>
    <w:basedOn w:val="Zkladntext"/>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styleId="Bezmezer">
    <w:name w:val="No Spacing"/>
    <w:qFormat/>
    <w:rsid w:val="00D66431"/>
    <w:rPr>
      <w:rFonts w:ascii="Calibri" w:hAnsi="Calibri"/>
      <w:sz w:val="22"/>
      <w:szCs w:val="22"/>
    </w:rPr>
  </w:style>
  <w:style w:type="character" w:styleId="Nevyeenzmnka">
    <w:name w:val="Unresolved Mention"/>
    <w:basedOn w:val="Standardnpsmoodstavce"/>
    <w:uiPriority w:val="99"/>
    <w:semiHidden/>
    <w:unhideWhenUsed/>
    <w:rsid w:val="00DF1C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52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vatoslava.hajovska@tachov-mesto.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odatelna@tachov-mesto.cz" TargetMode="External"/><Relationship Id="rId1" Type="http://schemas.openxmlformats.org/officeDocument/2006/relationships/hyperlink" Target="http://www.tachov-mest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jovska\Documents\Vlastn&#237;%20&#353;ablony%20Office\zve&#345;ejn&#283;n&#237;.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zveřejnění.dotx</Template>
  <TotalTime>3</TotalTime>
  <Pages>1</Pages>
  <Words>453</Words>
  <Characters>2677</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Jméno, příjmení/název firmy, úřadu</vt:lpstr>
    </vt:vector>
  </TitlesOfParts>
  <Company>Mesto Tachov</Company>
  <LinksUpToDate>false</LinksUpToDate>
  <CharactersWithSpaces>3124</CharactersWithSpaces>
  <SharedDoc>false</SharedDoc>
  <HLinks>
    <vt:vector size="12" baseType="variant">
      <vt:variant>
        <vt:i4>2031714</vt:i4>
      </vt:variant>
      <vt:variant>
        <vt:i4>3</vt:i4>
      </vt:variant>
      <vt:variant>
        <vt:i4>0</vt:i4>
      </vt:variant>
      <vt:variant>
        <vt:i4>5</vt:i4>
      </vt:variant>
      <vt:variant>
        <vt:lpwstr>mailto:podatelna@tachov-mesto.cz</vt:lpwstr>
      </vt:variant>
      <vt:variant>
        <vt:lpwstr/>
      </vt:variant>
      <vt:variant>
        <vt:i4>3866685</vt:i4>
      </vt:variant>
      <vt:variant>
        <vt:i4>0</vt:i4>
      </vt:variant>
      <vt:variant>
        <vt:i4>0</vt:i4>
      </vt:variant>
      <vt:variant>
        <vt:i4>5</vt:i4>
      </vt:variant>
      <vt:variant>
        <vt:lpwstr>http://www.tachov-mesto.cz/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Jméno, příjmení/název firmy, úřadu</dc:title>
  <dc:subject/>
  <dc:creator>Hájovská Svatoslava</dc:creator>
  <cp:keywords/>
  <cp:lastModifiedBy>Hájovská Svatoslava</cp:lastModifiedBy>
  <cp:revision>6</cp:revision>
  <cp:lastPrinted>2022-07-01T09:06:00Z</cp:lastPrinted>
  <dcterms:created xsi:type="dcterms:W3CDTF">2022-07-01T08:14:00Z</dcterms:created>
  <dcterms:modified xsi:type="dcterms:W3CDTF">2022-07-01T09:06:00Z</dcterms:modified>
</cp:coreProperties>
</file>