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F799" w14:textId="77777777" w:rsidR="00F67118" w:rsidRPr="00F67118" w:rsidRDefault="00F67118" w:rsidP="00F67118">
      <w:pPr>
        <w:spacing w:before="100" w:beforeAutospacing="1" w:after="100" w:afterAutospacing="1" w:line="336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F6711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cs-CZ"/>
        </w:rPr>
        <w:t>Ustanovení zvláštního příjemce důchodu</w:t>
      </w:r>
    </w:p>
    <w:p w14:paraId="36E0869E" w14:textId="5FC5207C" w:rsidR="00F67118" w:rsidRDefault="00494107" w:rsidP="00F67118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F6711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Označení</w:t>
      </w:r>
      <w:r w:rsidR="00F67118" w:rsidRPr="00F6711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úkonu</w:t>
      </w:r>
      <w:r w:rsidR="00F67118"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br/>
        <w:t>Ustanovení zvláštního příjemce důchodu</w:t>
      </w:r>
    </w:p>
    <w:p w14:paraId="287C278A" w14:textId="77777777" w:rsidR="00BE4D3B" w:rsidRPr="00F67118" w:rsidRDefault="00BE4D3B" w:rsidP="00BE4D3B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</w:p>
    <w:p w14:paraId="0859C4C8" w14:textId="77777777" w:rsidR="00494107" w:rsidRPr="00494107" w:rsidRDefault="00F67118" w:rsidP="0049410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F6711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V jakém případě ve věci jednat</w:t>
      </w:r>
    </w:p>
    <w:p w14:paraId="5E9933AA" w14:textId="3E05A197" w:rsidR="00F67118" w:rsidRDefault="00F67118" w:rsidP="00494107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Odbor sociálních věcí a zdravotnictví Městského úřadu v Tachově (dále jen OSVZ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MěÚ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Tachov) us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tanovuje zvláštního příjemce důchodu v případech, kdy oprávněný příjemce </w:t>
      </w:r>
      <w:r w:rsidR="00696682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důchodové dávky 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není schopen vzhledem k nepříznivému zdravotnímu stavu přebírat svůj důchod a hospodařit s ním. </w:t>
      </w:r>
    </w:p>
    <w:p w14:paraId="7914EA21" w14:textId="77777777" w:rsidR="00BE4D3B" w:rsidRDefault="00BE4D3B" w:rsidP="00494107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</w:p>
    <w:p w14:paraId="091FE7D0" w14:textId="77777777" w:rsidR="00696682" w:rsidRPr="00696682" w:rsidRDefault="00696682" w:rsidP="00696682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cs-CZ"/>
        </w:rPr>
      </w:pPr>
      <w:r w:rsidRPr="0069668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cs-CZ"/>
        </w:rPr>
        <w:t>Právní úprava</w:t>
      </w:r>
    </w:p>
    <w:p w14:paraId="280CDEF2" w14:textId="745848C8" w:rsidR="00696682" w:rsidRPr="00696682" w:rsidRDefault="00696682" w:rsidP="00696682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696682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§ 10 a 118 zákona č. 582/1991 Sb.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,</w:t>
      </w:r>
      <w:r w:rsidRPr="00696682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o organizaci a provádění sociálního zabezpečení, ve znění pozdějších předpisů </w:t>
      </w:r>
    </w:p>
    <w:p w14:paraId="10D1AF3A" w14:textId="3266F0BF" w:rsidR="00696682" w:rsidRDefault="00696682" w:rsidP="00696682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696682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zákon č. 500/2004 Sb. správní řád, ve znění pozdějších předpis (SŘ)</w:t>
      </w:r>
    </w:p>
    <w:p w14:paraId="322E937F" w14:textId="77777777" w:rsidR="00BE4D3B" w:rsidRDefault="00BE4D3B" w:rsidP="00696682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</w:p>
    <w:p w14:paraId="1CC59B10" w14:textId="77777777" w:rsidR="00696682" w:rsidRPr="00696682" w:rsidRDefault="00696682" w:rsidP="0069668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cs-CZ"/>
        </w:rPr>
      </w:pPr>
      <w:r w:rsidRPr="0069668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cs-CZ"/>
        </w:rPr>
        <w:t>Místní příslušnost</w:t>
      </w:r>
    </w:p>
    <w:p w14:paraId="63DA77A6" w14:textId="3FDD4D3F" w:rsidR="00696682" w:rsidRDefault="00696682" w:rsidP="00696682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696682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obecní úřad (I. typu) podle trvalého pobytu účastníků řízení </w:t>
      </w:r>
    </w:p>
    <w:p w14:paraId="27E9491F" w14:textId="77777777" w:rsidR="00696682" w:rsidRPr="00696682" w:rsidRDefault="00696682" w:rsidP="00696682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</w:p>
    <w:p w14:paraId="06FCAD1E" w14:textId="77777777" w:rsidR="00696682" w:rsidRPr="00696682" w:rsidRDefault="00696682" w:rsidP="0069668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69668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Účastníci řízení</w:t>
      </w:r>
      <w:r w:rsidRPr="0069668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</w:p>
    <w:p w14:paraId="268A1A49" w14:textId="77777777" w:rsidR="00696682" w:rsidRPr="00696682" w:rsidRDefault="00696682" w:rsidP="00696682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696682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dosavadní příjemce důchodu</w:t>
      </w:r>
    </w:p>
    <w:p w14:paraId="1B1F39D0" w14:textId="77777777" w:rsidR="00696682" w:rsidRPr="00696682" w:rsidRDefault="00696682" w:rsidP="00696682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696682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osoba, která má být ustanovena zvláštním příjemcem (fyzická osoba, v odůvodněných případech i právnická osoba) – vždy musí s ustanovením souhlasit</w:t>
      </w:r>
    </w:p>
    <w:p w14:paraId="17F9AB7E" w14:textId="3BA6FEEE" w:rsidR="00696682" w:rsidRDefault="00696682" w:rsidP="00696682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696682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pokud účastník řízení nemá procesní způsobilost, musí být zastupován zákonným zástupcem (§ 32 SŘ)</w:t>
      </w:r>
    </w:p>
    <w:p w14:paraId="108ED40B" w14:textId="77777777" w:rsidR="00696682" w:rsidRPr="00696682" w:rsidRDefault="00696682" w:rsidP="00696682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77D01E87" w14:textId="167804CB" w:rsidR="00696682" w:rsidRPr="00696682" w:rsidRDefault="00696682" w:rsidP="0069668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F6711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Charakteristika úkonu</w:t>
      </w:r>
    </w:p>
    <w:p w14:paraId="3DD9B511" w14:textId="2240CCAC" w:rsidR="00494107" w:rsidRDefault="00F67118" w:rsidP="00494107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OSVZ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MěÚ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Tachov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na základě žádosti rozhodne o ustanovení zvláštního příjemce důchodu a dohlíží, jak jím ustanovený zvláštní příjemce dávky plní své povinnosti. Neplní-li své povinnosti řádně, rozhodne o ustanovení jiného příjemce. </w:t>
      </w:r>
    </w:p>
    <w:p w14:paraId="365FD98C" w14:textId="52696CD5" w:rsidR="00F67118" w:rsidRDefault="00F67118" w:rsidP="00494107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Zvláštní příjemce je povinen dávku použít pouze ve prospěch oprávněného a osob, které je oprávněný povinen vyživovat. Zvláštní příjemce je povinen na žádost oprávněného nebo úřadu, který jej ustanovil, podat písemné vyúčtování dávky, která mu byla vyplácena, a to do jednoho měsíce.</w:t>
      </w:r>
    </w:p>
    <w:p w14:paraId="3181021E" w14:textId="77777777" w:rsidR="00BE4D3B" w:rsidRPr="00F67118" w:rsidRDefault="00BE4D3B" w:rsidP="00494107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</w:p>
    <w:p w14:paraId="13FFE21A" w14:textId="77777777" w:rsidR="008D7F88" w:rsidRPr="008D7F88" w:rsidRDefault="00F67118" w:rsidP="008D7F88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F6711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Kdy věc řešit</w:t>
      </w:r>
    </w:p>
    <w:p w14:paraId="58C75988" w14:textId="3D3B1177" w:rsidR="00F67118" w:rsidRDefault="00F67118" w:rsidP="00696682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Úkon je zahájen písemným podáním (žádostí). Žádost o ustanovení zvláštního příjemce </w:t>
      </w:r>
      <w:r w:rsidR="00696682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se 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podává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prostřednictvím tiskopisu.</w:t>
      </w:r>
      <w:r w:rsidR="00696682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Dle 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SŘ (</w:t>
      </w:r>
      <w:r w:rsidR="008D7F8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§ 71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)</w:t>
      </w:r>
      <w:r w:rsidR="008D7F8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rozhodne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OSVZ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MěÚ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Tachov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nejpozději do 30 dnů</w:t>
      </w:r>
      <w:r w:rsidR="00381A7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.</w:t>
      </w:r>
      <w:r w:rsidR="008D7F8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</w:p>
    <w:p w14:paraId="1E19D088" w14:textId="77777777" w:rsidR="00BE4D3B" w:rsidRPr="00F67118" w:rsidRDefault="00BE4D3B" w:rsidP="00696682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</w:p>
    <w:p w14:paraId="229FFDE0" w14:textId="77777777" w:rsidR="008504A1" w:rsidRPr="008504A1" w:rsidRDefault="00F67118" w:rsidP="008504A1">
      <w:pPr>
        <w:numPr>
          <w:ilvl w:val="0"/>
          <w:numId w:val="1"/>
        </w:numPr>
        <w:spacing w:after="0" w:line="240" w:lineRule="auto"/>
        <w:ind w:left="714" w:hanging="357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8504A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lastRenderedPageBreak/>
        <w:t>Co je nutné doložit</w:t>
      </w:r>
    </w:p>
    <w:p w14:paraId="549183E9" w14:textId="44ADEDD8" w:rsidR="008504A1" w:rsidRDefault="00F67118" w:rsidP="00BE4D3B">
      <w:pPr>
        <w:spacing w:after="120" w:line="240" w:lineRule="auto"/>
        <w:ind w:left="714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Žádost se podává na předepsaném tiskopise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, kterou je možné </w:t>
      </w:r>
      <w:r w:rsidR="00306443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osobně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  <w:proofErr w:type="gramStart"/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vyzvednout 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na</w:t>
      </w:r>
      <w:proofErr w:type="gramEnd"/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  <w:r w:rsidR="008D7F88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O</w:t>
      </w:r>
      <w:r w:rsidR="00381A7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SVZ</w:t>
      </w:r>
      <w:r w:rsidR="008D7F88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8D7F88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Mě</w:t>
      </w:r>
      <w:r w:rsidR="00381A7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Ú</w:t>
      </w:r>
      <w:proofErr w:type="spellEnd"/>
      <w:r w:rsidR="00381A7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Ta</w:t>
      </w:r>
      <w:r w:rsidR="008D7F88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chov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, </w:t>
      </w:r>
      <w:r w:rsidR="008D7F88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Hornická 1695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, </w:t>
      </w:r>
      <w:r w:rsidR="008D7F88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347 01 Tachov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, 2. 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NP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,</w:t>
      </w:r>
      <w:r w:rsidR="008D7F88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č.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dveře č. </w:t>
      </w:r>
      <w:r w:rsid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2</w:t>
      </w:r>
      <w:r w:rsidR="008D7F88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23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, kontaktní osoba </w:t>
      </w:r>
      <w:r w:rsidR="008D7F88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Ing. Marcela Němcová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. Případně </w:t>
      </w:r>
      <w:r w:rsidR="00E27C7F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formulář je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ke stažení na internetových stránkách </w:t>
      </w:r>
      <w:proofErr w:type="spellStart"/>
      <w:r w:rsidR="008504A1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MěÚ</w:t>
      </w:r>
      <w:proofErr w:type="spellEnd"/>
      <w:r w:rsidR="008504A1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T</w:t>
      </w:r>
      <w:r w:rsidR="008504A1"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achov</w:t>
      </w:r>
      <w:r w:rsidR="00BE4D3B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  <w:hyperlink r:id="rId5" w:history="1">
        <w:r w:rsidR="00E27C7F" w:rsidRPr="0013172A">
          <w:rPr>
            <w:rStyle w:val="Hypertextovodkaz"/>
            <w:rFonts w:ascii="Montserrat" w:eastAsia="Times New Roman" w:hAnsi="Montserrat" w:cs="Times New Roman"/>
            <w:sz w:val="24"/>
            <w:szCs w:val="24"/>
            <w:lang w:eastAsia="cs-CZ"/>
          </w:rPr>
          <w:t>www.mesto-tachov.czn</w:t>
        </w:r>
      </w:hyperlink>
      <w:r w:rsidR="00E27C7F">
        <w:rPr>
          <w:rFonts w:ascii="Montserrat" w:eastAsia="Times New Roman" w:hAnsi="Montserrat" w:cs="Times New Roman"/>
          <w:sz w:val="24"/>
          <w:szCs w:val="24"/>
          <w:lang w:eastAsia="cs-CZ"/>
        </w:rPr>
        <w:t xml:space="preserve"> (pod odborem OSVZ – formuláře).</w:t>
      </w:r>
      <w:r w:rsidR="008504A1">
        <w:rPr>
          <w:rFonts w:ascii="Montserrat" w:eastAsia="Times New Roman" w:hAnsi="Montserrat" w:cs="Times New Roman"/>
          <w:sz w:val="24"/>
          <w:szCs w:val="24"/>
          <w:lang w:eastAsia="cs-CZ"/>
        </w:rPr>
        <w:t xml:space="preserve"> </w:t>
      </w:r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Vyplněnou žádost včetně vyjádření lékaře </w:t>
      </w:r>
      <w:proofErr w:type="gramStart"/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a  potvrzení</w:t>
      </w:r>
      <w:proofErr w:type="gramEnd"/>
      <w:r w:rsidRP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o důchodu může žadatel osobně předat na 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OSVZ </w:t>
      </w:r>
      <w:proofErr w:type="spellStart"/>
      <w:r w:rsid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MěÚ</w:t>
      </w:r>
      <w:proofErr w:type="spellEnd"/>
      <w:r w:rsidR="008504A1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Tachov</w:t>
      </w:r>
      <w:r w:rsidR="0030644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.</w:t>
      </w:r>
    </w:p>
    <w:p w14:paraId="55A11C56" w14:textId="77777777" w:rsidR="00381A73" w:rsidRDefault="008504A1" w:rsidP="00BE4D3B">
      <w:pPr>
        <w:spacing w:after="0" w:line="240" w:lineRule="auto"/>
        <w:ind w:left="720"/>
        <w:jc w:val="both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8504A1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Žádost lze podat též elektronicky.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Elektronická žádost musí být podána prostřednictvím e-mailové adresy: </w:t>
      </w:r>
      <w:hyperlink r:id="rId6" w:history="1">
        <w:r w:rsidRPr="00F67118">
          <w:rPr>
            <w:rStyle w:val="Hypertextovodkaz"/>
            <w:rFonts w:ascii="Montserrat" w:eastAsia="Times New Roman" w:hAnsi="Montserrat" w:cs="Times New Roman"/>
            <w:sz w:val="24"/>
            <w:szCs w:val="24"/>
            <w:lang w:eastAsia="cs-CZ"/>
          </w:rPr>
          <w:t>podatelna@</w:t>
        </w:r>
        <w:r w:rsidRPr="00B7563F">
          <w:rPr>
            <w:rStyle w:val="Hypertextovodkaz"/>
            <w:rFonts w:ascii="Montserrat" w:eastAsia="Times New Roman" w:hAnsi="Montserrat" w:cs="Times New Roman"/>
            <w:sz w:val="24"/>
            <w:szCs w:val="24"/>
            <w:lang w:eastAsia="cs-CZ"/>
          </w:rPr>
          <w:t>tachov-mesto.cz</w:t>
        </w:r>
      </w:hyperlink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 nebo datovou schránkou, ID datové schránky: </w:t>
      </w:r>
      <w:r w:rsidR="00381A7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2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tubyxs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. </w:t>
      </w:r>
    </w:p>
    <w:p w14:paraId="305D8D71" w14:textId="7311378D" w:rsidR="00F67118" w:rsidRDefault="008504A1" w:rsidP="00BE4D3B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Následně bude žadatel kontaktován pracovnicí, aby se dostavil na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OSVZ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MěÚ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Tachov</w:t>
      </w:r>
      <w:r w:rsidR="00381A73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 xml:space="preserve"> 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k sepsání protokolu o ústním jednání. </w:t>
      </w:r>
      <w:r w:rsidRPr="00F67118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br/>
      </w:r>
    </w:p>
    <w:p w14:paraId="58DE3B7E" w14:textId="06433876" w:rsidR="00BE4D3B" w:rsidRPr="00CD1A3F" w:rsidRDefault="00381A73" w:rsidP="00381A73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F6711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Výsledek úkonu</w:t>
      </w:r>
    </w:p>
    <w:p w14:paraId="1BD9EF0D" w14:textId="77777777" w:rsidR="00CD1A3F" w:rsidRPr="00CD1A3F" w:rsidRDefault="00CD1A3F" w:rsidP="00CD1A3F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  <w:r w:rsidRPr="00CD1A3F"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  <w:t>Rozhodnutí o ustanovení zvláštního příjemce dávek důchodového pojištění.</w:t>
      </w:r>
    </w:p>
    <w:p w14:paraId="5BD9A955" w14:textId="77777777" w:rsidR="00CD1A3F" w:rsidRPr="00BE4D3B" w:rsidRDefault="00CD1A3F" w:rsidP="00CD1A3F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</w:p>
    <w:p w14:paraId="77F68BEF" w14:textId="77777777" w:rsidR="00CD1A3F" w:rsidRPr="00BE4D3B" w:rsidRDefault="00CD1A3F" w:rsidP="00CD1A3F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BE4D3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Průběh řízení</w:t>
      </w:r>
    </w:p>
    <w:p w14:paraId="486349E2" w14:textId="77777777" w:rsidR="00CD1A3F" w:rsidRPr="00BE4D3B" w:rsidRDefault="00CD1A3F" w:rsidP="00CD1A3F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BE4D3B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oznámení o zahájení řízení, dokazování, sociální šetření, rozhodnutí, doručování dle SŘ</w:t>
      </w:r>
    </w:p>
    <w:p w14:paraId="24164FD3" w14:textId="77777777" w:rsidR="00CD1A3F" w:rsidRPr="00BE4D3B" w:rsidRDefault="00CD1A3F" w:rsidP="00CD1A3F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BE4D3B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o odvolání rozhoduje krajský úřad</w:t>
      </w:r>
    </w:p>
    <w:p w14:paraId="07011AA3" w14:textId="5EA6C280" w:rsidR="00CD1A3F" w:rsidRDefault="00CD1A3F" w:rsidP="00CD1A3F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BE4D3B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na rozhodnutí</w:t>
      </w:r>
      <w:r w:rsidRPr="00BE4D3B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se vyznačí</w:t>
      </w:r>
      <w:r w:rsidRPr="00BE4D3B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právní moc</w:t>
      </w:r>
      <w:r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a</w:t>
      </w:r>
      <w:r w:rsidRPr="00BE4D3B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doručí</w:t>
      </w:r>
      <w:r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se</w:t>
      </w:r>
      <w:r w:rsidRPr="00BE4D3B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na Českou správu sociálního zabezpečení (může účastník řízení nebo obecní úřad – dle domluvy)</w:t>
      </w:r>
    </w:p>
    <w:p w14:paraId="2FFAA768" w14:textId="77777777" w:rsidR="00CD1A3F" w:rsidRPr="00BE4D3B" w:rsidRDefault="00CD1A3F" w:rsidP="00CD1A3F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7F343A9B" w14:textId="77777777" w:rsidR="00BE4D3B" w:rsidRPr="00CD1A3F" w:rsidRDefault="00BE4D3B" w:rsidP="00BE4D3B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CD1A3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Zrušení rozhodnutí o ustanovení zvláštního příjemce</w:t>
      </w:r>
    </w:p>
    <w:p w14:paraId="11B94F70" w14:textId="3E80A242" w:rsidR="00BE4D3B" w:rsidRDefault="00BE4D3B" w:rsidP="00BE4D3B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BE4D3B"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§ 118 odst. 5 Zákona (odpadly důvody, pro které byl zvláštní příjemce ustanoven, zvláštní příjemce neplní povinnosti...)</w:t>
      </w:r>
    </w:p>
    <w:p w14:paraId="67DD9E2F" w14:textId="3C0A539B" w:rsidR="00CD1A3F" w:rsidRDefault="00CD1A3F" w:rsidP="00BE4D3B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7582C637" w14:textId="77777777" w:rsidR="00CD1A3F" w:rsidRDefault="00CD1A3F" w:rsidP="00BE4D3B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1ED00761" w14:textId="77777777" w:rsidR="00CD1A3F" w:rsidRDefault="00CD1A3F" w:rsidP="00BE4D3B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733635AD" w14:textId="34FB1136" w:rsidR="00CD1A3F" w:rsidRDefault="00CD1A3F" w:rsidP="00BE4D3B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Ing. Marcela Němcová</w:t>
      </w:r>
    </w:p>
    <w:p w14:paraId="729F51E9" w14:textId="496DF2E9" w:rsidR="00CD1A3F" w:rsidRPr="00BE4D3B" w:rsidRDefault="00CD1A3F" w:rsidP="00BE4D3B">
      <w:pPr>
        <w:pStyle w:val="Odstavecseseznamem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bdr w:val="none" w:sz="0" w:space="0" w:color="auto" w:frame="1"/>
          <w:lang w:eastAsia="cs-CZ"/>
        </w:rPr>
        <w:t>vedoucí OSVZ</w:t>
      </w:r>
    </w:p>
    <w:p w14:paraId="1751BDE1" w14:textId="77777777" w:rsidR="00381A73" w:rsidRPr="008504A1" w:rsidRDefault="00381A73" w:rsidP="00381A73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cs-CZ"/>
        </w:rPr>
      </w:pPr>
    </w:p>
    <w:p w14:paraId="50BEF995" w14:textId="77777777" w:rsidR="00BE4D3B" w:rsidRDefault="00BE4D3B" w:rsidP="00BE4D3B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u w:val="single"/>
          <w:bdr w:val="none" w:sz="0" w:space="0" w:color="auto" w:frame="1"/>
          <w:lang w:eastAsia="cs-CZ"/>
        </w:rPr>
      </w:pPr>
    </w:p>
    <w:p w14:paraId="5C4260AF" w14:textId="77777777" w:rsidR="00BE4D3B" w:rsidRDefault="00BE4D3B" w:rsidP="00BE4D3B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u w:val="single"/>
          <w:bdr w:val="none" w:sz="0" w:space="0" w:color="auto" w:frame="1"/>
          <w:lang w:eastAsia="cs-CZ"/>
        </w:rPr>
      </w:pPr>
    </w:p>
    <w:sectPr w:rsidR="00BE4D3B" w:rsidSect="008504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351"/>
    <w:multiLevelType w:val="hybridMultilevel"/>
    <w:tmpl w:val="E3FE0E96"/>
    <w:lvl w:ilvl="0" w:tplc="F5F2E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A2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0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89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2A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29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08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65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F82820"/>
    <w:multiLevelType w:val="multilevel"/>
    <w:tmpl w:val="3EBE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5370B"/>
    <w:multiLevelType w:val="hybridMultilevel"/>
    <w:tmpl w:val="E3666D88"/>
    <w:lvl w:ilvl="0" w:tplc="5762B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29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A6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E6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6A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62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E3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63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48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9106E9"/>
    <w:multiLevelType w:val="hybridMultilevel"/>
    <w:tmpl w:val="91A62C66"/>
    <w:lvl w:ilvl="0" w:tplc="956A8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8A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2E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A2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A2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2A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EB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8E7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69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EF7ADD"/>
    <w:multiLevelType w:val="hybridMultilevel"/>
    <w:tmpl w:val="725E1362"/>
    <w:lvl w:ilvl="0" w:tplc="FD822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A0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4AF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A7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4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2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A3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AF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82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B839A9"/>
    <w:multiLevelType w:val="hybridMultilevel"/>
    <w:tmpl w:val="9FC2673C"/>
    <w:lvl w:ilvl="0" w:tplc="E06E5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87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01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EA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AF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86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AE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A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01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9B0C75"/>
    <w:multiLevelType w:val="hybridMultilevel"/>
    <w:tmpl w:val="3912C2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18"/>
    <w:rsid w:val="00306443"/>
    <w:rsid w:val="00381A73"/>
    <w:rsid w:val="00494107"/>
    <w:rsid w:val="00517DE0"/>
    <w:rsid w:val="00520DBE"/>
    <w:rsid w:val="00696682"/>
    <w:rsid w:val="008504A1"/>
    <w:rsid w:val="008D7F88"/>
    <w:rsid w:val="00BE4D3B"/>
    <w:rsid w:val="00CD1A3F"/>
    <w:rsid w:val="00E27C7F"/>
    <w:rsid w:val="00E353F7"/>
    <w:rsid w:val="00F6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6810"/>
  <w15:chartTrackingRefBased/>
  <w15:docId w15:val="{CD33FF41-C735-48FD-B5A0-4A995D98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71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71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9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6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2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2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3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6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28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99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8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00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tachov-mesto.cz" TargetMode="External"/><Relationship Id="rId5" Type="http://schemas.openxmlformats.org/officeDocument/2006/relationships/hyperlink" Target="http://www.mesto-tachov.cz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Marcela</dc:creator>
  <cp:keywords/>
  <dc:description/>
  <cp:lastModifiedBy>Němcová Marcela</cp:lastModifiedBy>
  <cp:revision>2</cp:revision>
  <dcterms:created xsi:type="dcterms:W3CDTF">2021-11-08T13:38:00Z</dcterms:created>
  <dcterms:modified xsi:type="dcterms:W3CDTF">2021-11-08T13:38:00Z</dcterms:modified>
</cp:coreProperties>
</file>